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F40B3C">
        <w:rPr>
          <w:rFonts w:ascii="Times New Roman" w:hAnsi="Times New Roman" w:cs="Times New Roman"/>
          <w:color w:val="000000"/>
          <w:lang w:val="sr-Latn-CS"/>
        </w:rPr>
        <w:t>10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A72FA5" w:rsidRDefault="00A72FA5" w:rsidP="00A72FA5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(Prema Regulativi (EC) br. 1907/2006)</w:t>
      </w:r>
      <w:r w:rsidRPr="000A3F28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A055DE" w:rsidRDefault="00A055DE" w:rsidP="00FC4D1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="004534EF">
        <w:rPr>
          <w:rFonts w:ascii="Times New Roman" w:hAnsi="Times New Roman" w:cs="Times New Roman"/>
          <w:lang w:val="sr-Latn-CS"/>
        </w:rPr>
        <w:t>26</w:t>
      </w:r>
      <w:r w:rsidRPr="002A62CE">
        <w:rPr>
          <w:rFonts w:ascii="Times New Roman" w:hAnsi="Times New Roman" w:cs="Times-New-Roman"/>
          <w:lang w:val="sr-Latn-CS"/>
        </w:rPr>
        <w:t>.0</w:t>
      </w:r>
      <w:r w:rsidR="00C45091">
        <w:rPr>
          <w:rFonts w:ascii="Times New Roman" w:hAnsi="Times New Roman" w:cs="Times-New-Roman"/>
          <w:lang w:val="sr-Latn-CS"/>
        </w:rPr>
        <w:t>3</w:t>
      </w:r>
      <w:r w:rsidRPr="002A62CE">
        <w:rPr>
          <w:rFonts w:ascii="Times New Roman" w:hAnsi="Times New Roman" w:cs="Times-New-Roman"/>
          <w:lang w:val="sr-Latn-CS"/>
        </w:rPr>
        <w:t xml:space="preserve">. 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      Verzija: </w:t>
      </w:r>
      <w:r w:rsidR="004534EF">
        <w:rPr>
          <w:rFonts w:ascii="Times New Roman" w:hAnsi="Times New Roman" w:cs="Times New Roman"/>
          <w:lang w:val="sr-Latn-CS"/>
        </w:rPr>
        <w:t>1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           Revizija:  </w:t>
      </w:r>
      <w:r w:rsidR="004534EF">
        <w:rPr>
          <w:rFonts w:ascii="Times New Roman" w:hAnsi="Times New Roman" w:cs="Times New Roman"/>
          <w:lang w:val="sr-Latn-CS"/>
        </w:rPr>
        <w:t>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2A62CE" w:rsidRPr="002A62CE" w:rsidTr="00850FBA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A3724" w:rsidRPr="006A6001" w:rsidRDefault="008A3724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6A6001" w:rsidRDefault="006A6001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A6001" w:rsidRPr="006A6001" w:rsidRDefault="006A6001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4262D" w:rsidRPr="00474A68" w:rsidRDefault="00A72FA5" w:rsidP="00242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Pr="00A72FA5">
              <w:rPr>
                <w:rFonts w:ascii="Times New Roman" w:hAnsi="Times New Roman" w:cs="Times New Roman"/>
                <w:b/>
                <w:i/>
                <w:sz w:val="40"/>
                <w:szCs w:val="40"/>
                <w:vertAlign w:val="superscript"/>
                <w:lang w:val="de-DE"/>
              </w:rPr>
              <w:t>®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4534EF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Niacin</w:t>
            </w:r>
          </w:p>
          <w:p w:rsidR="0024262D" w:rsidRPr="00A4469C" w:rsidRDefault="0024262D" w:rsidP="0024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8A3724" w:rsidRPr="00521D1B" w:rsidRDefault="0024262D" w:rsidP="0024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:     </w:t>
            </w:r>
            <w:r w:rsidR="00521D1B">
              <w:rPr>
                <w:rFonts w:ascii="Times-New-Roman" w:hAnsi="Times-New-Roman" w:cs="Times-New-Roman"/>
                <w:b/>
                <w:lang w:val="de-DE"/>
              </w:rPr>
              <w:t>/</w:t>
            </w:r>
          </w:p>
        </w:tc>
      </w:tr>
      <w:tr w:rsidR="002A62CE" w:rsidRPr="002A62CE" w:rsidTr="00FD2AA1">
        <w:trPr>
          <w:trHeight w:val="998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1D1B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21D1B" w:rsidRPr="002A62CE" w:rsidRDefault="00521D1B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521D1B" w:rsidRPr="004105AA" w:rsidRDefault="00A72FA5" w:rsidP="004534EF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4534EF">
              <w:rPr>
                <w:rFonts w:ascii="Times-New-Roman" w:hAnsi="Times-New-Roman" w:cs="Times-New-Roman"/>
                <w:lang w:val="de-DE"/>
              </w:rPr>
              <w:t>za</w:t>
            </w:r>
            <w:r>
              <w:rPr>
                <w:rFonts w:ascii="Times-New-Roman" w:hAnsi="Times-New-Roman" w:cs="Times-New-Roman"/>
                <w:lang w:val="de-DE"/>
              </w:rPr>
              <w:t xml:space="preserve"> hran</w:t>
            </w:r>
            <w:r w:rsidR="004534EF">
              <w:rPr>
                <w:rFonts w:ascii="Times-New-Roman" w:hAnsi="Times-New-Roman" w:cs="Times-New-Roman"/>
                <w:lang w:val="de-DE"/>
              </w:rPr>
              <w:t>u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  <w:r w:rsidR="004534E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1D1B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521D1B" w:rsidRPr="002A62CE" w:rsidRDefault="00521D1B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Način upotrebe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521D1B" w:rsidRPr="00A4469C" w:rsidRDefault="00521D1B" w:rsidP="009A15D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A62CE" w:rsidRPr="002A62CE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>1.3. Podaci o snabdevaču: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6A6001">
        <w:trPr>
          <w:trHeight w:val="97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A72FA5" w:rsidRDefault="00A72FA5" w:rsidP="00A7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DSM Nutritional Products Ltd</w:t>
            </w:r>
          </w:p>
          <w:p w:rsidR="00A72FA5" w:rsidRDefault="00A72FA5" w:rsidP="00A7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A72FA5" w:rsidRDefault="00A72FA5" w:rsidP="00A7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A72FA5" w:rsidRDefault="00A72FA5" w:rsidP="00A7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 xml:space="preserve">+41618158888  </w:t>
            </w:r>
            <w:r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>
              <w:rPr>
                <w:rFonts w:ascii="Times-New-Roman" w:hAnsi="Times-New-Roman" w:cs="Times-New-Roman"/>
                <w:lang w:val="de-DE"/>
              </w:rPr>
              <w:t xml:space="preserve"> +41618157253</w:t>
            </w:r>
          </w:p>
          <w:p w:rsidR="00A72FA5" w:rsidRDefault="00A72FA5" w:rsidP="00A7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C45091" w:rsidRPr="00C45091" w:rsidRDefault="00C45091" w:rsidP="00C4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6A6001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6A6001" w:rsidRPr="008D2344" w:rsidRDefault="006A6001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6001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6A6001" w:rsidRPr="00A4469C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692054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6A6001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</w:p>
          <w:p w:rsidR="00F72B16" w:rsidRDefault="00F72B16" w:rsidP="00F72B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Ivana L</w:t>
            </w:r>
            <w:r>
              <w:rPr>
                <w:rFonts w:ascii="Times New Roman" w:eastAsia="Times New Roman" w:hAnsi="Times New Roman" w:cs="Times New Roman"/>
              </w:rPr>
              <w:t>atovljev</w:t>
            </w:r>
            <w:r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A6001" w:rsidRPr="00E073A5" w:rsidRDefault="00F72B16" w:rsidP="00F72B1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A72FA5" w:rsidRDefault="00A72FA5" w:rsidP="00FC4D1B">
      <w:pPr>
        <w:jc w:val="right"/>
        <w:rPr>
          <w:rFonts w:ascii="Times New Roman" w:hAnsi="Times New Roman" w:cs="Times New Roman"/>
        </w:rPr>
      </w:pPr>
    </w:p>
    <w:p w:rsidR="00A72FA5" w:rsidRDefault="00A72FA5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F40B3C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3"/>
        <w:gridCol w:w="5953"/>
      </w:tblGrid>
      <w:tr w:rsidR="00FC4D1B" w:rsidTr="001801BC">
        <w:trPr>
          <w:trHeight w:val="54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1801BC">
        <w:trPr>
          <w:trHeight w:val="440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C1831" w:rsidRDefault="008A3724" w:rsidP="005C1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850FB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  <w:p w:rsidR="00A72FA5" w:rsidRPr="00850FBA" w:rsidRDefault="00A72FA5" w:rsidP="001801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kriterijumima DSD/DPD: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72FA5" w:rsidRDefault="00A72FA5" w:rsidP="00A72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/>
              </w:rPr>
            </w:pPr>
          </w:p>
          <w:p w:rsidR="008A3724" w:rsidRPr="00A72FA5" w:rsidRDefault="004534EF" w:rsidP="001801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Latn-RS"/>
              </w:rPr>
            </w:pPr>
            <w:r w:rsidRPr="009A5320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i;</w:t>
            </w:r>
            <w:r w:rsidRPr="009A5320">
              <w:rPr>
                <w:rFonts w:ascii="Times New Roman" w:hAnsi="Times New Roman" w:cs="Times New Roman"/>
              </w:rPr>
              <w:t xml:space="preserve"> R36</w:t>
            </w:r>
          </w:p>
        </w:tc>
      </w:tr>
      <w:tr w:rsidR="004534EF" w:rsidTr="001801BC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</w:tcBorders>
            <w:vAlign w:val="center"/>
          </w:tcPr>
          <w:p w:rsidR="004534EF" w:rsidRPr="00850FBA" w:rsidRDefault="004534EF" w:rsidP="004534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kriterijumima CLP/GHS:</w:t>
            </w:r>
          </w:p>
        </w:tc>
        <w:tc>
          <w:tcPr>
            <w:tcW w:w="5953" w:type="dxa"/>
            <w:tcBorders>
              <w:top w:val="nil"/>
              <w:right w:val="thickThinSmallGap" w:sz="24" w:space="0" w:color="auto"/>
            </w:tcBorders>
            <w:vAlign w:val="center"/>
          </w:tcPr>
          <w:p w:rsidR="004534EF" w:rsidRDefault="004534EF" w:rsidP="004534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01A80">
              <w:rPr>
                <w:rFonts w:ascii="Times New Roman" w:hAnsi="Times New Roman" w:cs="Times New Roman"/>
              </w:rPr>
              <w:t>rit</w:t>
            </w:r>
            <w:r>
              <w:rPr>
                <w:rFonts w:ascii="Times New Roman" w:hAnsi="Times New Roman" w:cs="Times New Roman"/>
              </w:rPr>
              <w:t xml:space="preserve">acija </w:t>
            </w:r>
            <w:r w:rsidRPr="00301A80">
              <w:rPr>
                <w:rFonts w:ascii="Times New Roman" w:hAnsi="Times New Roman" w:cs="Times New Roman"/>
              </w:rPr>
              <w:t>oka kat.2;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A80">
              <w:rPr>
                <w:rFonts w:ascii="Times New Roman" w:hAnsi="Times New Roman" w:cs="Times New Roman"/>
                <w:lang w:val="de-DE"/>
              </w:rPr>
              <w:t>H319</w:t>
            </w:r>
          </w:p>
        </w:tc>
      </w:tr>
      <w:tr w:rsidR="00152071" w:rsidTr="008B773F">
        <w:trPr>
          <w:trHeight w:val="70"/>
          <w:jc w:val="center"/>
        </w:trPr>
        <w:tc>
          <w:tcPr>
            <w:tcW w:w="505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180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5953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2426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D2AA1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72FA5" w:rsidRPr="00692054" w:rsidRDefault="00FD2AA1" w:rsidP="004534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92054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692054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</w:tcPr>
          <w:p w:rsidR="00FD2AA1" w:rsidRPr="00692054" w:rsidRDefault="004534EF" w:rsidP="006920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242DA">
              <w:rPr>
                <w:rFonts w:ascii="Times New Roman" w:hAnsi="Times New Roman" w:cs="Times New Roman"/>
              </w:rPr>
              <w:t>Iritativno za oči</w:t>
            </w:r>
          </w:p>
        </w:tc>
      </w:tr>
      <w:tr w:rsidR="00FD2AA1" w:rsidTr="008B773F">
        <w:trPr>
          <w:trHeight w:val="9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D2AA1" w:rsidRPr="00692054" w:rsidRDefault="00FD2AA1" w:rsidP="00692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92054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FD2AA1" w:rsidRPr="00692054" w:rsidRDefault="00FD2AA1" w:rsidP="006920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9205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E714F9" w:rsidTr="001801BC">
        <w:trPr>
          <w:trHeight w:val="70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E714F9" w:rsidRPr="002A62CE" w:rsidRDefault="00E714F9" w:rsidP="0018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714F9" w:rsidRPr="002A62CE" w:rsidRDefault="00E714F9" w:rsidP="0018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14F9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714F9" w:rsidRPr="002A62CE" w:rsidRDefault="00E714F9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E714F9" w:rsidRPr="002A62CE" w:rsidRDefault="00E714F9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E714F9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714F9" w:rsidRPr="002A62CE" w:rsidRDefault="00E714F9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4F9" w:rsidRPr="002A62CE" w:rsidRDefault="00E714F9" w:rsidP="00A256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E714F9" w:rsidTr="008B773F">
        <w:trPr>
          <w:trHeight w:val="70"/>
          <w:jc w:val="center"/>
        </w:trPr>
        <w:tc>
          <w:tcPr>
            <w:tcW w:w="505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E714F9" w:rsidRPr="002A62CE" w:rsidRDefault="00E714F9" w:rsidP="0018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714F9" w:rsidRPr="002A62CE" w:rsidRDefault="00E714F9" w:rsidP="002426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4262D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</w:tcPr>
          <w:p w:rsidR="0024262D" w:rsidRPr="002A62CE" w:rsidRDefault="0024262D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</w:tcPr>
          <w:p w:rsidR="0024262D" w:rsidRPr="00394137" w:rsidRDefault="00521D1B" w:rsidP="002426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4262D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</w:tcPr>
          <w:p w:rsidR="0024262D" w:rsidRPr="002A62CE" w:rsidRDefault="0024262D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Koža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</w:tcPr>
          <w:p w:rsidR="0024262D" w:rsidRPr="00394137" w:rsidRDefault="00521D1B" w:rsidP="00C438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4262D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</w:tcPr>
          <w:p w:rsidR="0024262D" w:rsidRPr="002A62CE" w:rsidRDefault="0024262D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Oči: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</w:tcPr>
          <w:p w:rsidR="0024262D" w:rsidRPr="00394137" w:rsidRDefault="004534EF" w:rsidP="00C4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9242DA">
              <w:rPr>
                <w:rFonts w:ascii="Times New Roman" w:hAnsi="Times New Roman" w:cs="Times New Roman"/>
              </w:rPr>
              <w:t>Iritativno za oči</w:t>
            </w:r>
          </w:p>
        </w:tc>
      </w:tr>
      <w:tr w:rsidR="0024262D" w:rsidTr="008B773F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24262D" w:rsidRPr="002A62CE" w:rsidRDefault="0024262D" w:rsidP="006920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Gutanje: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24262D" w:rsidRPr="00394137" w:rsidRDefault="00521D1B" w:rsidP="00C4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E714F9" w:rsidTr="001801BC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714F9" w:rsidRPr="002A62CE" w:rsidRDefault="00E714F9" w:rsidP="008B7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E714F9" w:rsidRPr="002A62CE" w:rsidRDefault="00E714F9" w:rsidP="008B7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8B773F" w:rsidTr="00567E74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</w:tcPr>
          <w:p w:rsidR="008B773F" w:rsidRPr="002A62CE" w:rsidRDefault="008B773F" w:rsidP="008B77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Cs/>
                <w:i/>
                <w:color w:val="000000"/>
              </w:rPr>
              <w:t>Znak opasnosti: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B773F" w:rsidRPr="009A5320" w:rsidRDefault="008B773F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0753C70" wp14:editId="4C9C580C">
                  <wp:extent cx="76200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73F" w:rsidTr="00567E74">
        <w:trPr>
          <w:trHeight w:val="7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8B773F" w:rsidRPr="008B773F" w:rsidRDefault="008B773F" w:rsidP="008B77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B773F">
              <w:rPr>
                <w:rFonts w:ascii="Times New Roman" w:hAnsi="Times New Roman" w:cs="Times New Roman"/>
                <w:bCs/>
                <w:i/>
                <w:lang w:val="de-DE"/>
              </w:rPr>
              <w:t>Reč upozorenja: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B773F" w:rsidRPr="008B773F" w:rsidRDefault="008B773F" w:rsidP="008B7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801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Pažnja </w:t>
            </w:r>
          </w:p>
          <w:p w:rsidR="008B773F" w:rsidRPr="008B773F" w:rsidRDefault="008B773F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3F" w:rsidTr="001801BC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8B773F" w:rsidRPr="008B773F" w:rsidRDefault="008B773F" w:rsidP="008B77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8B773F">
              <w:rPr>
                <w:rFonts w:ascii="Times New Roman" w:hAnsi="Times New Roman" w:cs="Times New Roman"/>
                <w:bCs/>
                <w:i/>
                <w:color w:val="000000"/>
              </w:rPr>
              <w:t>Oznake rizika</w:t>
            </w:r>
            <w:r w:rsidRPr="008B77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B773F" w:rsidRPr="008B773F" w:rsidRDefault="008B773F" w:rsidP="008B7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H319: Dovodi do jake iritacije oka </w:t>
            </w:r>
          </w:p>
          <w:p w:rsidR="008B773F" w:rsidRPr="008B773F" w:rsidRDefault="008B773F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3F" w:rsidTr="00567E74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8B773F" w:rsidRPr="008B773F" w:rsidRDefault="008B773F" w:rsidP="008B773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Obaveštenja o merama predostrožnosti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 prevencija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773F" w:rsidRPr="008B773F" w:rsidRDefault="008B773F" w:rsidP="008B77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595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B773F" w:rsidRPr="008B773F" w:rsidRDefault="008B773F" w:rsidP="008B7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P264-Oprati ...detaljno nakon rukovanja. </w:t>
            </w:r>
          </w:p>
          <w:p w:rsidR="008B773F" w:rsidRPr="008B773F" w:rsidRDefault="008B773F" w:rsidP="008B7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P280-Nositi zaštitne rukavice/ zaštitnu odeću/ zaštitne naočare/ zaštitu za lice. </w:t>
            </w:r>
          </w:p>
        </w:tc>
      </w:tr>
      <w:tr w:rsidR="008B773F" w:rsidTr="00567E74">
        <w:trPr>
          <w:trHeight w:val="8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8B773F" w:rsidRPr="008B773F" w:rsidRDefault="008B773F" w:rsidP="00567E74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>Obaveštenja o merama predostrožnosti reagovanje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773F" w:rsidRPr="008B773F" w:rsidRDefault="008B773F" w:rsidP="00567E74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773F" w:rsidRPr="008B773F" w:rsidRDefault="008B773F" w:rsidP="008B7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P305+P351+P338-AKO DOSPE U OČI: Pažljivo ispirati vodom nekoliko minuta. Ukloniti kontaktna sočiva, ukoliko postoje i ukoliko je to moguće učiniti. Nastaviti sa ispiranjem. </w:t>
            </w:r>
          </w:p>
          <w:p w:rsidR="008B773F" w:rsidRPr="008B773F" w:rsidRDefault="008B773F" w:rsidP="008B7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P337+P313-Ako iritacija oka ne prolazi: potražiti medicinski savet/ mišljenje. </w:t>
            </w:r>
          </w:p>
        </w:tc>
      </w:tr>
      <w:tr w:rsidR="00E714F9" w:rsidTr="008B773F">
        <w:trPr>
          <w:trHeight w:val="440"/>
          <w:jc w:val="center"/>
        </w:trPr>
        <w:tc>
          <w:tcPr>
            <w:tcW w:w="505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714F9" w:rsidRPr="002A62CE" w:rsidRDefault="00E714F9" w:rsidP="002426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4F9" w:rsidRPr="002A62CE" w:rsidRDefault="00A72FA5" w:rsidP="002426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49386F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E714F9" w:rsidTr="0071109E">
        <w:trPr>
          <w:trHeight w:val="51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714F9" w:rsidRPr="002A62CE" w:rsidRDefault="00E714F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E714F9" w:rsidTr="001801BC">
        <w:trPr>
          <w:trHeight w:val="44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714F9" w:rsidRDefault="00E714F9" w:rsidP="00000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</w:t>
            </w:r>
            <w:r w:rsidR="000006C2">
              <w:rPr>
                <w:rFonts w:ascii="Times New Roman" w:hAnsi="Times New Roman" w:cs="Times New Roman"/>
                <w:b/>
                <w:bCs/>
              </w:rPr>
              <w:t>1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. Podaci o sastojcima </w:t>
            </w:r>
            <w:r w:rsidR="000006C2">
              <w:rPr>
                <w:rFonts w:ascii="Times New Roman" w:hAnsi="Times New Roman" w:cs="Times New Roman"/>
                <w:b/>
                <w:bCs/>
              </w:rPr>
              <w:t>supstance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801BC" w:rsidRDefault="00A72FA5" w:rsidP="0018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 w:rsidR="001801BC">
              <w:rPr>
                <w:rFonts w:ascii="Times New Roman" w:hAnsi="Times New Roman" w:cs="Times New Roman"/>
                <w:bCs/>
                <w:lang w:val="sr-Latn-RS"/>
              </w:rPr>
              <w:t>supstanca</w:t>
            </w:r>
          </w:p>
          <w:p w:rsidR="00521D1B" w:rsidRPr="00A4469C" w:rsidRDefault="001801BC" w:rsidP="001801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Molekularna formula: C</w:t>
            </w:r>
            <w:r w:rsidRPr="001801BC">
              <w:rPr>
                <w:rFonts w:ascii="Times New Roman" w:hAnsi="Times New Roman" w:cs="Times New Roman"/>
                <w:bCs/>
                <w:vertAlign w:val="subscript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</w:t>
            </w:r>
            <w:r w:rsidRPr="001801BC">
              <w:rPr>
                <w:rFonts w:ascii="Times New Roman" w:hAnsi="Times New Roman" w:cs="Times New Roman"/>
                <w:bCs/>
                <w:vertAlign w:val="subscript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NO</w:t>
            </w:r>
            <w:r w:rsidRPr="001801BC">
              <w:rPr>
                <w:rFonts w:ascii="Times New Roman" w:hAnsi="Times New Roman" w:cs="Times New Roman"/>
                <w:bCs/>
                <w:vertAlign w:val="subscript"/>
                <w:lang w:val="sr-Latn-RS"/>
              </w:rPr>
              <w:t>2</w:t>
            </w:r>
            <w:r w:rsidR="00A72FA5" w:rsidRPr="005D2AD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1801BC" w:rsidRDefault="001801BC" w:rsidP="001801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801BC" w:rsidRPr="002C21D4" w:rsidRDefault="001801BC" w:rsidP="001801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</w:t>
      </w:r>
      <w:r w:rsidR="009D4BEB">
        <w:rPr>
          <w:rFonts w:ascii="Times New Roman" w:hAnsi="Times New Roman" w:cs="Times New Roman"/>
          <w:i/>
          <w:sz w:val="20"/>
          <w:szCs w:val="20"/>
          <w:lang w:val="sr-Latn-RS"/>
        </w:rPr>
        <w:t>Niacin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1801BC" w:rsidRPr="002A62CE" w:rsidRDefault="001801BC" w:rsidP="001801BC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D4BEB"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 w:rsidR="009D4BEB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 w:rsidR="009D4BEB"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1801BC" w:rsidRDefault="001801BC" w:rsidP="001801BC">
      <w:pPr>
        <w:jc w:val="right"/>
      </w:pPr>
      <w:r w:rsidRPr="002A62CE">
        <w:rPr>
          <w:rFonts w:ascii="Times New Roman" w:hAnsi="Times New Roman" w:cs="Times New Roman"/>
        </w:rPr>
        <w:t>Strana 2/</w:t>
      </w:r>
      <w:r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312"/>
        <w:gridCol w:w="668"/>
        <w:gridCol w:w="630"/>
        <w:gridCol w:w="1620"/>
        <w:gridCol w:w="2430"/>
        <w:gridCol w:w="2083"/>
      </w:tblGrid>
      <w:tr w:rsidR="00A72FA5" w:rsidRPr="00A4469C" w:rsidTr="001801BC">
        <w:trPr>
          <w:trHeight w:val="132"/>
          <w:jc w:val="center"/>
        </w:trPr>
        <w:tc>
          <w:tcPr>
            <w:tcW w:w="22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A5" w:rsidRPr="00A4469C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lastRenderedPageBreak/>
              <w:t>Opasne komponente</w:t>
            </w:r>
          </w:p>
        </w:tc>
        <w:tc>
          <w:tcPr>
            <w:tcW w:w="13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A5" w:rsidRPr="00A4469C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29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A5" w:rsidRPr="00A4469C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FA5" w:rsidRPr="00A4469C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FA5" w:rsidRPr="001217D2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208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72FA5" w:rsidRPr="00A4469C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A72FA5" w:rsidTr="001801BC">
        <w:trPr>
          <w:trHeight w:val="402"/>
          <w:jc w:val="center"/>
        </w:trPr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FA5" w:rsidRPr="001801BC" w:rsidRDefault="001801BC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1801BC">
              <w:rPr>
                <w:rFonts w:ascii="Times New Roman" w:hAnsi="Times New Roman" w:cs="Times New Roman"/>
              </w:rPr>
              <w:t>Nikotinska kiselina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FA5" w:rsidRPr="001801BC" w:rsidRDefault="00305F6E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1801BC">
              <w:rPr>
                <w:rFonts w:ascii="Times New Roman" w:hAnsi="Times New Roman" w:cs="Times New Roman"/>
              </w:rPr>
              <w:t>59-67-6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FA5" w:rsidRPr="001801BC" w:rsidRDefault="00305F6E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1801BC">
              <w:rPr>
                <w:rFonts w:ascii="Times New Roman" w:hAnsi="Times New Roman" w:cs="Times New Roman"/>
              </w:rPr>
              <w:t>200-441-0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FA5" w:rsidRPr="001801BC" w:rsidRDefault="00A72FA5" w:rsidP="00305F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801BC">
              <w:rPr>
                <w:rFonts w:ascii="Times New Roman" w:hAnsi="Times New Roman" w:cs="Times New Roman"/>
              </w:rPr>
              <w:t>X</w:t>
            </w:r>
            <w:r w:rsidR="00305F6E" w:rsidRPr="001801BC">
              <w:rPr>
                <w:rFonts w:ascii="Times New Roman" w:hAnsi="Times New Roman" w:cs="Times New Roman"/>
              </w:rPr>
              <w:t>i</w:t>
            </w:r>
            <w:r w:rsidRPr="001801BC">
              <w:rPr>
                <w:rFonts w:ascii="Times New Roman" w:hAnsi="Times New Roman" w:cs="Times New Roman"/>
              </w:rPr>
              <w:t>; R</w:t>
            </w:r>
            <w:r w:rsidR="00305F6E" w:rsidRPr="001801B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FA5" w:rsidRPr="001801BC" w:rsidRDefault="00305F6E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801BC">
              <w:rPr>
                <w:rFonts w:ascii="Times New Roman" w:hAnsi="Times New Roman" w:cs="Times New Roman"/>
              </w:rPr>
              <w:t xml:space="preserve">Iritacija oka kat.2; </w:t>
            </w:r>
            <w:r w:rsidRPr="001801BC">
              <w:rPr>
                <w:rFonts w:ascii="Times New Roman" w:hAnsi="Times New Roman" w:cs="Times New Roman"/>
                <w:lang w:val="de-DE"/>
              </w:rPr>
              <w:t>H319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72FA5" w:rsidRPr="001801BC" w:rsidRDefault="00A72FA5" w:rsidP="00305F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801BC"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305F6E" w:rsidRPr="001801BC">
              <w:rPr>
                <w:rFonts w:ascii="Times New Roman" w:hAnsi="Times New Roman" w:cs="Times New Roman"/>
                <w:lang w:val="de-DE"/>
              </w:rPr>
              <w:t>99</w:t>
            </w:r>
          </w:p>
        </w:tc>
      </w:tr>
      <w:tr w:rsidR="00A72FA5" w:rsidRPr="00211F6B" w:rsidTr="001801BC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54D2" w:rsidRDefault="00D454D2" w:rsidP="00A72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72FA5" w:rsidRPr="00211F6B" w:rsidRDefault="00A72FA5" w:rsidP="00A72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de-DE"/>
              </w:rPr>
              <w:t>Klasif</w:t>
            </w:r>
            <w:r w:rsidRPr="00211F6B">
              <w:rPr>
                <w:rFonts w:ascii="Times New Roman" w:hAnsi="Times New Roman" w:cs="Times New Roman"/>
                <w:lang w:val="de-DE"/>
              </w:rPr>
              <w:t>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A72FA5" w:rsidRDefault="00A72FA5" w:rsidP="00A72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  <w:p w:rsidR="00A72FA5" w:rsidRPr="00211F6B" w:rsidRDefault="00A72FA5" w:rsidP="00A72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Za više informacija videti tačku 16.</w:t>
            </w:r>
          </w:p>
        </w:tc>
      </w:tr>
      <w:tr w:rsidR="005C1831" w:rsidTr="001801BC">
        <w:trPr>
          <w:trHeight w:val="45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C1831" w:rsidRPr="00074FD9" w:rsidRDefault="005C1831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521D1B" w:rsidTr="00A72FA5">
        <w:trPr>
          <w:trHeight w:val="66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1D1B" w:rsidRPr="005952AD" w:rsidRDefault="00521D1B" w:rsidP="00A27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b/>
                <w:bCs/>
              </w:rPr>
              <w:t>4.1. Opis mera prve pomoći: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1D1B" w:rsidRPr="001422EA" w:rsidRDefault="00A72FA5" w:rsidP="00886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Udaljiti se od zone opasnosti. Pokazati ovaj bezbednosni list u prisustvu lekara. </w:t>
            </w:r>
          </w:p>
        </w:tc>
      </w:tr>
      <w:tr w:rsidR="00521D1B" w:rsidTr="00A27C5A">
        <w:trPr>
          <w:trHeight w:val="80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1D1B" w:rsidRPr="00077104" w:rsidRDefault="00521D1B" w:rsidP="0007710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lang w:val="de-DE"/>
              </w:rPr>
            </w:pPr>
            <w:r w:rsidRPr="00077104">
              <w:rPr>
                <w:rFonts w:ascii="Times New Roman" w:hAnsi="Times New Roman" w:cs="Times New Roman"/>
                <w:b/>
                <w:i/>
              </w:rPr>
              <w:t>Nakon udisanja</w:t>
            </w:r>
            <w:r w:rsidRPr="00077104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1D1B" w:rsidRPr="001422EA" w:rsidRDefault="00A72FA5" w:rsidP="009A15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Osobu izvesti na svež vazduh u slučaju nenamernog udisanja prašine ili isparenja od pregrejanog proizvoda ili sagorevanja. Ukoliko ostanu simptomi konsultovati lekara.</w:t>
            </w:r>
          </w:p>
        </w:tc>
      </w:tr>
      <w:tr w:rsidR="00A72FA5" w:rsidTr="00A27C5A">
        <w:trPr>
          <w:trHeight w:val="465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72FA5" w:rsidRPr="00077104" w:rsidRDefault="00A72FA5" w:rsidP="0007710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lang w:val="de-DE"/>
              </w:rPr>
            </w:pPr>
            <w:r w:rsidRPr="00077104">
              <w:rPr>
                <w:rFonts w:ascii="Times New Roman" w:hAnsi="Times New Roman" w:cs="Times New Roman"/>
                <w:b/>
                <w:i/>
              </w:rPr>
              <w:t>Nakon dodira s kožom</w:t>
            </w:r>
            <w:r w:rsidRPr="0007710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72FA5" w:rsidRPr="001422EA" w:rsidRDefault="00A72FA5" w:rsidP="00A72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Skinuti odmah kontaminiranu odeću i obuću. Isprati kožu sa dosta vode i sapuna. Ukoliko ostanu simptomi konsultovati lekara.</w:t>
            </w:r>
          </w:p>
        </w:tc>
      </w:tr>
      <w:tr w:rsidR="00A72FA5" w:rsidTr="00521D1B">
        <w:trPr>
          <w:trHeight w:val="80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72FA5" w:rsidRPr="00077104" w:rsidRDefault="00A72FA5" w:rsidP="0007710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lang w:val="de-DE"/>
              </w:rPr>
            </w:pPr>
            <w:r w:rsidRPr="00077104">
              <w:rPr>
                <w:rFonts w:ascii="Times New Roman" w:hAnsi="Times New Roman" w:cs="Times New Roman"/>
                <w:b/>
                <w:i/>
              </w:rPr>
              <w:t>Nakon dodira s očima: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72FA5" w:rsidRPr="001422EA" w:rsidRDefault="00886C3D" w:rsidP="00886C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Odmah isprati oči sa dosta vode. </w:t>
            </w:r>
            <w:r w:rsidR="00A72FA5" w:rsidRPr="001422EA">
              <w:rPr>
                <w:rFonts w:ascii="Times New Roman" w:hAnsi="Times New Roman" w:cs="Times New Roman"/>
              </w:rPr>
              <w:t xml:space="preserve">Ukloniti kontaktna sočiva. Zaštiti nepovređeno oko. Držati oko širom otvoreno u toku ispiranja. </w:t>
            </w:r>
            <w:r w:rsidR="00A72FA5">
              <w:rPr>
                <w:rFonts w:ascii="Times New Roman" w:hAnsi="Times New Roman" w:cs="Times New Roman"/>
              </w:rPr>
              <w:t>Ukoliko se iritacija oka nastavi konsultovati lekara.</w:t>
            </w:r>
          </w:p>
        </w:tc>
      </w:tr>
      <w:tr w:rsidR="00A72FA5" w:rsidTr="00521D1B">
        <w:trPr>
          <w:trHeight w:val="80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2FA5" w:rsidRPr="00077104" w:rsidRDefault="00A72FA5" w:rsidP="00521D1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77104">
              <w:rPr>
                <w:rFonts w:ascii="Times New Roman" w:hAnsi="Times New Roman" w:cs="Times New Roman"/>
                <w:b/>
                <w:i/>
              </w:rPr>
              <w:t>Nakon gutanja: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72FA5" w:rsidRPr="00875DBE" w:rsidRDefault="00A72FA5" w:rsidP="00A72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5DBE">
              <w:rPr>
                <w:rFonts w:ascii="Times New Roman" w:hAnsi="Times New Roman" w:cs="Times New Roman"/>
              </w:rPr>
              <w:t xml:space="preserve">Isprati vodom usta, a zatim piti velike količine vode. Ne davati </w:t>
            </w:r>
            <w:proofErr w:type="gramStart"/>
            <w:r w:rsidRPr="00875DBE">
              <w:rPr>
                <w:rFonts w:ascii="Times New Roman" w:hAnsi="Times New Roman" w:cs="Times New Roman"/>
              </w:rPr>
              <w:t>mleko  niti</w:t>
            </w:r>
            <w:proofErr w:type="gramEnd"/>
            <w:r w:rsidRPr="00875DBE">
              <w:rPr>
                <w:rFonts w:ascii="Times New Roman" w:hAnsi="Times New Roman" w:cs="Times New Roman"/>
              </w:rPr>
              <w:t xml:space="preserve"> alkoholna pića. Nikada ne stavljati ništa u usta onesvešćenoj osobi. </w:t>
            </w:r>
            <w:r>
              <w:rPr>
                <w:rFonts w:ascii="Times New Roman" w:hAnsi="Times New Roman" w:cs="Times New Roman"/>
              </w:rPr>
              <w:t>Potražiti pomoć lekara.</w:t>
            </w:r>
          </w:p>
        </w:tc>
      </w:tr>
      <w:tr w:rsidR="00521D1B" w:rsidTr="000A0DDB">
        <w:trPr>
          <w:trHeight w:val="46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B" w:rsidRPr="002A62CE" w:rsidRDefault="00521D1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4.2. Najvažniji simptomi i efekti, akutni i odloženi 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21D1B" w:rsidRPr="00A4469C" w:rsidRDefault="00521D1B" w:rsidP="009A15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521D1B" w:rsidTr="00A72FA5">
        <w:trPr>
          <w:trHeight w:val="46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B" w:rsidRPr="002A62CE" w:rsidRDefault="00521D1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21D1B" w:rsidRPr="00A4469C" w:rsidRDefault="00521D1B" w:rsidP="009A15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5C1831" w:rsidTr="00A72FA5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C1831" w:rsidRPr="00074FD9" w:rsidRDefault="005C1831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C1831" w:rsidTr="00A72FA5">
        <w:trPr>
          <w:trHeight w:val="46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C1831" w:rsidRPr="00923CD0" w:rsidRDefault="005C1831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923CD0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C1831" w:rsidRPr="00923CD0" w:rsidRDefault="005C1831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43863" w:rsidTr="00A72FA5">
        <w:trPr>
          <w:trHeight w:val="80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A15D9" w:rsidRPr="00077104" w:rsidRDefault="00C43863" w:rsidP="00A72FA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77104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72FA5" w:rsidRPr="00077104" w:rsidRDefault="00A72FA5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C43863" w:rsidTr="00A72FA5">
        <w:trPr>
          <w:trHeight w:val="80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3" w:rsidRPr="00077104" w:rsidRDefault="00C43863" w:rsidP="000771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77104">
              <w:rPr>
                <w:rFonts w:ascii="Times New Roman" w:hAnsi="Times New Roman" w:cs="Times New Roman"/>
                <w:b/>
                <w:i/>
              </w:rPr>
              <w:t>Ne smeju se upotrebljavati</w:t>
            </w:r>
            <w:r w:rsidRPr="0007710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43863" w:rsidRPr="00077104" w:rsidRDefault="00C43863" w:rsidP="00077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104">
              <w:rPr>
                <w:rFonts w:ascii="Times New Roman" w:hAnsi="Times New Roman" w:cs="Times New Roman"/>
              </w:rPr>
              <w:t>Nije naznačeno.</w:t>
            </w:r>
          </w:p>
        </w:tc>
      </w:tr>
      <w:tr w:rsidR="00C43863" w:rsidTr="00A72FA5">
        <w:trPr>
          <w:trHeight w:val="46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3863" w:rsidRPr="00923CD0" w:rsidRDefault="00C4386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23CD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5.2. Po</w:t>
            </w:r>
            <w:r w:rsidRPr="00923CD0">
              <w:rPr>
                <w:rFonts w:ascii="Times New Roman" w:hAnsi="Times New Roman" w:cs="Times New Roman"/>
                <w:b/>
                <w:bCs/>
                <w:i/>
                <w:lang w:val="sr-Latn-RS"/>
              </w:rPr>
              <w:t>sebne opasnosti koje mogu nastati od supstanci i smeša</w:t>
            </w:r>
            <w:r w:rsidRPr="00923CD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43863" w:rsidRPr="00A4469C" w:rsidRDefault="00F47798" w:rsidP="00C4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C43863" w:rsidTr="00D454D2">
        <w:trPr>
          <w:trHeight w:val="70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43863" w:rsidRPr="00923CD0" w:rsidRDefault="00C43863" w:rsidP="005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923CD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5.3.Savet za vatrogasce: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43863" w:rsidRPr="00923CD0" w:rsidRDefault="00F47798" w:rsidP="009A15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  <w:r>
              <w:rPr>
                <w:rFonts w:ascii="Times-New-Roman" w:hAnsi="Times-New-Roman" w:cs="Times-New-Roman"/>
              </w:rPr>
              <w:t xml:space="preserve"> 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</w:tbl>
    <w:p w:rsidR="00D454D2" w:rsidRDefault="00D454D2" w:rsidP="00D454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454D2" w:rsidRDefault="00D454D2" w:rsidP="00D454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D4BEB" w:rsidRPr="002C21D4" w:rsidRDefault="009D4BEB" w:rsidP="009D4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D4BEB" w:rsidRPr="002A62CE" w:rsidRDefault="009D4BEB" w:rsidP="009D4BEB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D454D2" w:rsidRDefault="00D454D2" w:rsidP="00D454D2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6673"/>
      </w:tblGrid>
      <w:tr w:rsidR="00C43863" w:rsidTr="00D454D2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3863" w:rsidRPr="002A62CE" w:rsidRDefault="00C4386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MERE U SLUČAJU UDESA</w:t>
            </w:r>
          </w:p>
        </w:tc>
      </w:tr>
      <w:tr w:rsidR="00C43863" w:rsidTr="00D454D2">
        <w:trPr>
          <w:trHeight w:val="692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3863" w:rsidRPr="00127030" w:rsidRDefault="00C43863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6.1. Lične predostrožnosti, zaštitna oprema i postupci u slučaju udesa: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7104" w:rsidRPr="00A4469C" w:rsidRDefault="00F47798" w:rsidP="00C2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Koristiti ličnu zaštitnu opremu. Izbegavati prašinu. Obezbediti dovoljnu ventilaciju. </w:t>
            </w:r>
          </w:p>
        </w:tc>
      </w:tr>
      <w:tr w:rsidR="00C43863" w:rsidTr="00D454D2">
        <w:trPr>
          <w:trHeight w:val="71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3863" w:rsidRPr="00127030" w:rsidRDefault="00C43863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6.2. Predostrožnosti koje se odnose na životnu sredinu: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1677F" w:rsidRPr="00A4469C" w:rsidRDefault="00C25181" w:rsidP="00C4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Sprečiti da proizvod dospe u odvod ili vodotokove. Nikakve posebne mere zaštite okoline nisu neophodne.</w:t>
            </w:r>
          </w:p>
        </w:tc>
      </w:tr>
      <w:tr w:rsidR="00C43863" w:rsidTr="00D454D2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3863" w:rsidRPr="00235C13" w:rsidRDefault="00C43863" w:rsidP="00235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35C13">
              <w:rPr>
                <w:rFonts w:ascii="Times New Roman" w:hAnsi="Times New Roman" w:cs="Times New Roman"/>
                <w:b/>
                <w:bCs/>
              </w:rPr>
              <w:t>6.3.Mere koje treba preduzeti i materijal za sprečavanje širenja i sanaciju: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43863" w:rsidRPr="00A4469C" w:rsidRDefault="00F47798" w:rsidP="00C25181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 </w:t>
            </w:r>
            <w:r>
              <w:rPr>
                <w:rFonts w:ascii="Times-New-Roman" w:hAnsi="Times-New-Roman" w:cs="Times-New-Roman"/>
              </w:rPr>
              <w:t>i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Počistiti. </w:t>
            </w:r>
            <w:r w:rsidR="00C25181">
              <w:rPr>
                <w:rFonts w:ascii="Times-New-Roman" w:hAnsi="Times-New-Roman" w:cs="Times-New-Roman"/>
              </w:rPr>
              <w:t>Isprati zaostale tragove proizvoda vodom.</w:t>
            </w:r>
          </w:p>
        </w:tc>
      </w:tr>
      <w:tr w:rsidR="00C43863" w:rsidTr="005B50EC">
        <w:trPr>
          <w:trHeight w:val="7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3863" w:rsidRPr="00127030" w:rsidRDefault="00C43863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6.4. Upućivanje na druga poglavlja: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3863" w:rsidRPr="00127030" w:rsidRDefault="00C43863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 xml:space="preserve">Vidi tačku 8. </w:t>
            </w:r>
            <w:proofErr w:type="gramStart"/>
            <w:r w:rsidRPr="00127030">
              <w:rPr>
                <w:rFonts w:ascii="Times New Roman" w:hAnsi="Times New Roman" w:cs="Times New Roman"/>
              </w:rPr>
              <w:t>i</w:t>
            </w:r>
            <w:proofErr w:type="gramEnd"/>
            <w:r w:rsidRPr="00127030">
              <w:rPr>
                <w:rFonts w:ascii="Times New Roman" w:hAnsi="Times New Roman" w:cs="Times New Roman"/>
              </w:rPr>
              <w:t xml:space="preserve"> 13.</w:t>
            </w:r>
          </w:p>
        </w:tc>
      </w:tr>
      <w:tr w:rsidR="00D51D00" w:rsidTr="00660653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C43863" w:rsidTr="005B50EC">
        <w:trPr>
          <w:trHeight w:val="1142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C43863" w:rsidRDefault="00C43863" w:rsidP="00F477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7.1.Predostrožnosti za bezbedno rukovanje:</w:t>
            </w:r>
          </w:p>
          <w:p w:rsidR="00F47798" w:rsidRPr="002A62CE" w:rsidRDefault="00F47798" w:rsidP="0060748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25181" w:rsidRDefault="00C25181" w:rsidP="00C2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kontakt sa kožom i očima.</w:t>
            </w:r>
            <w:r w:rsidR="00F47798">
              <w:rPr>
                <w:rFonts w:ascii="Times-New-Roman" w:hAnsi="Times-New-Roman" w:cs="Times-New-Roman"/>
              </w:rPr>
              <w:t xml:space="preserve"> Za mere lične zaštite videti tačku 8. Pušenje, jelo i piće treba zabraniti u oblasti rukovanja ovim proizvodom. </w:t>
            </w:r>
          </w:p>
          <w:p w:rsidR="00F47798" w:rsidRPr="00ED030C" w:rsidRDefault="00F47798" w:rsidP="00C2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formiranje naslaga prašine. Obezbediti odgovarajuću ventilaciju na mestima gde se formira prašina. Preduzeti mere opreza zbog statičkog elektriciteta.</w:t>
            </w:r>
          </w:p>
        </w:tc>
      </w:tr>
      <w:tr w:rsidR="00C43863" w:rsidTr="00D454D2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43863" w:rsidRPr="002A62CE" w:rsidRDefault="00C43863" w:rsidP="007F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7.2. Uslovi za bezbedno skladištenje, uključujući nekompatibilnosti: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3863" w:rsidRPr="002A62CE" w:rsidRDefault="00C43863" w:rsidP="00B41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63" w:rsidTr="005B50EC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C47CE" w:rsidRDefault="00C43863" w:rsidP="00616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2A62CE">
              <w:rPr>
                <w:rFonts w:ascii="Times New Roman" w:hAnsi="Times New Roman" w:cs="Times New Roman"/>
                <w:b/>
                <w:i/>
              </w:rPr>
              <w:t>ehničke mere i uslovi skladištenja:</w:t>
            </w:r>
          </w:p>
          <w:p w:rsidR="00F47798" w:rsidRPr="002A62CE" w:rsidRDefault="00F47798" w:rsidP="00F477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25181" w:rsidRDefault="00F47798" w:rsidP="00C2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Zaštititi od vlage, svetla. </w:t>
            </w:r>
          </w:p>
          <w:p w:rsidR="00F47798" w:rsidRPr="002A62CE" w:rsidRDefault="00F47798" w:rsidP="00C2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 xml:space="preserve">Držati kontejner čvrsto zatvorenim i </w:t>
            </w:r>
            <w:proofErr w:type="gramStart"/>
            <w:r>
              <w:rPr>
                <w:rFonts w:ascii="Times-New-Roman" w:hAnsi="Times-New-Roman" w:cs="Times-New-Roman"/>
              </w:rPr>
              <w:t>suvim ,</w:t>
            </w:r>
            <w:proofErr w:type="gramEnd"/>
            <w:r>
              <w:rPr>
                <w:rFonts w:ascii="Times-New-Roman" w:hAnsi="Times-New-Roman" w:cs="Times-New-Roman"/>
              </w:rPr>
              <w:t xml:space="preserve">  na temperaturama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C25181">
              <w:rPr>
                <w:rFonts w:ascii="Times New Roman" w:hAnsi="Times New Roman" w:cs="Times New Roman"/>
              </w:rPr>
              <w:t>25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. </w:t>
            </w:r>
          </w:p>
        </w:tc>
      </w:tr>
      <w:tr w:rsidR="00C43863" w:rsidTr="005B50EC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43863" w:rsidRPr="002A62CE" w:rsidRDefault="00C43863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Ambalažni materijali: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3863" w:rsidRPr="002A62CE" w:rsidRDefault="00C43863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43863" w:rsidTr="005B50EC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43863" w:rsidRPr="00660653" w:rsidRDefault="00C43863" w:rsidP="006606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0653">
              <w:rPr>
                <w:rFonts w:ascii="Times New Roman" w:hAnsi="Times New Roman" w:cs="Times New Roman"/>
                <w:b/>
                <w:i/>
              </w:rPr>
              <w:t>Prikladni: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3863" w:rsidRPr="00660653" w:rsidRDefault="00C43863" w:rsidP="00660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60653">
              <w:rPr>
                <w:rFonts w:ascii="Times New Roman" w:hAnsi="Times New Roman" w:cs="Times New Roman"/>
              </w:rPr>
              <w:t>Nije naznačeno.</w:t>
            </w:r>
          </w:p>
        </w:tc>
      </w:tr>
      <w:tr w:rsidR="00C43863" w:rsidTr="005B50EC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43863" w:rsidRPr="00660653" w:rsidRDefault="00C43863" w:rsidP="006606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60653">
              <w:rPr>
                <w:rFonts w:ascii="Times New Roman" w:hAnsi="Times New Roman" w:cs="Times New Roman"/>
                <w:b/>
                <w:i/>
              </w:rPr>
              <w:t>Neprikladni: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43863" w:rsidRPr="00660653" w:rsidRDefault="00C43863" w:rsidP="00660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60653">
              <w:rPr>
                <w:rFonts w:ascii="Times New Roman" w:hAnsi="Times New Roman" w:cs="Times New Roman"/>
              </w:rPr>
              <w:t>Nije naznačeno.</w:t>
            </w:r>
          </w:p>
        </w:tc>
      </w:tr>
      <w:tr w:rsidR="00C43863" w:rsidTr="005B50EC">
        <w:trPr>
          <w:trHeight w:val="22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3" w:rsidRPr="002A62CE" w:rsidRDefault="00C43863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7.3. Posebni načini korišćenja: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3863" w:rsidRPr="002A62CE" w:rsidRDefault="00C43863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7F7FD8" w:rsidRPr="002A62CE" w:rsidTr="00C45091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F7FD8" w:rsidRPr="002A62CE" w:rsidRDefault="007F7FD8" w:rsidP="007F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F47798" w:rsidRPr="002A62CE" w:rsidTr="00C25181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7798" w:rsidRDefault="00F47798" w:rsidP="006167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8.1.Parametri kontrole izloženosti</w:t>
            </w:r>
          </w:p>
          <w:p w:rsidR="00F47798" w:rsidRDefault="00F47798" w:rsidP="006167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47798" w:rsidRPr="002A62CE" w:rsidRDefault="00F47798" w:rsidP="006167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</w:rPr>
              <w:t>K</w:t>
            </w:r>
            <w:r w:rsidRPr="002654D2">
              <w:rPr>
                <w:rFonts w:ascii="Times-New-Roman,Bold" w:hAnsi="Times-New-Roman,Bold" w:cs="Times-New-Roman,Bold"/>
                <w:bCs/>
              </w:rPr>
              <w:t>omponent</w:t>
            </w:r>
            <w:r>
              <w:rPr>
                <w:rFonts w:ascii="Times-New-Roman,Bold" w:hAnsi="Times-New-Roman,Bold" w:cs="Times-New-Roman,Bold"/>
                <w:bCs/>
              </w:rPr>
              <w:t>i</w:t>
            </w:r>
            <w:r w:rsidRPr="002654D2">
              <w:rPr>
                <w:rFonts w:ascii="Times-New-Roman,Bold" w:hAnsi="Times-New-Roman,Bold" w:cs="Times-New-Roman,Bold"/>
                <w:bCs/>
              </w:rPr>
              <w:t xml:space="preserve"> za koje </w:t>
            </w:r>
            <w:r>
              <w:rPr>
                <w:rFonts w:ascii="Times-New-Roman,Bold" w:hAnsi="Times-New-Roman,Bold" w:cs="Times-New-Roman,Bold"/>
                <w:bCs/>
              </w:rPr>
              <w:t>su</w:t>
            </w:r>
            <w:r w:rsidRPr="002654D2">
              <w:rPr>
                <w:rFonts w:ascii="Times-New-Roman,Bold" w:hAnsi="Times-New-Roman,Bold" w:cs="Times-New-Roman,Bold"/>
                <w:bCs/>
              </w:rPr>
              <w:t xml:space="preserve"> propisan</w:t>
            </w:r>
            <w:r>
              <w:rPr>
                <w:rFonts w:ascii="Times-New-Roman,Bold" w:hAnsi="Times-New-Roman,Bold" w:cs="Times-New-Roman,Bold"/>
                <w:bCs/>
              </w:rPr>
              <w:t xml:space="preserve">e </w:t>
            </w:r>
            <w:r w:rsidRPr="002654D2">
              <w:rPr>
                <w:rFonts w:ascii="Times-New-Roman,Bold" w:hAnsi="Times-New-Roman,Bold" w:cs="Times-New-Roman,Bold"/>
                <w:bCs/>
              </w:rPr>
              <w:t>granic</w:t>
            </w:r>
            <w:r>
              <w:rPr>
                <w:rFonts w:ascii="Times-New-Roman,Bold" w:hAnsi="Times-New-Roman,Bold" w:cs="Times-New-Roman,Bold"/>
                <w:bCs/>
              </w:rPr>
              <w:t xml:space="preserve">e </w:t>
            </w:r>
            <w:r w:rsidRPr="002654D2">
              <w:rPr>
                <w:rFonts w:ascii="Times-New-Roman,Bold" w:hAnsi="Times-New-Roman,Bold" w:cs="Times-New-Roman,Bold"/>
                <w:bCs/>
              </w:rPr>
              <w:t>izloženosti</w:t>
            </w:r>
            <w:r>
              <w:rPr>
                <w:rFonts w:ascii="Times-New-Roman,Bold" w:hAnsi="Times-New-Roman,Bold" w:cs="Times-New-Roman,Bold"/>
                <w:bCs/>
              </w:rPr>
              <w:t xml:space="preserve"> na radnom mestu nema.</w:t>
            </w:r>
          </w:p>
        </w:tc>
      </w:tr>
      <w:tr w:rsidR="00920541" w:rsidRPr="002A62CE" w:rsidTr="005B50EC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20541" w:rsidRPr="002A62CE" w:rsidRDefault="00920541" w:rsidP="00077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8.2. Kontrola izloženosti i lična zaštita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20541" w:rsidRPr="002A62CE" w:rsidRDefault="00920541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0541" w:rsidRPr="002A62CE" w:rsidTr="005B50EC">
        <w:trPr>
          <w:trHeight w:val="333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20541" w:rsidRPr="002A62CE" w:rsidRDefault="00920541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</w:rPr>
              <w:t>- Opis radnog postupka i tehničke kontrole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20541" w:rsidRPr="002A62CE" w:rsidRDefault="00C5324D" w:rsidP="00C53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920541" w:rsidRPr="002A62CE" w:rsidTr="00D454D2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20541" w:rsidRPr="002A62CE" w:rsidRDefault="00920541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Opšte zaštitne mere: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0541" w:rsidRPr="002A62CE" w:rsidRDefault="00920541" w:rsidP="00053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 xml:space="preserve">Lična zaštitna sredstva. </w:t>
            </w:r>
          </w:p>
        </w:tc>
      </w:tr>
      <w:tr w:rsidR="00920541" w:rsidRPr="002A62CE" w:rsidTr="00D454D2">
        <w:trPr>
          <w:trHeight w:val="8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20541" w:rsidRPr="002A62CE" w:rsidRDefault="00920541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20541" w:rsidRPr="002A62CE" w:rsidRDefault="00920541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0541" w:rsidRPr="002A62CE" w:rsidTr="005B50EC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20541" w:rsidRPr="002A62CE" w:rsidRDefault="00920541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20541" w:rsidRPr="002A62CE" w:rsidRDefault="00F47798" w:rsidP="00077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sa štitnicima sa strane.</w:t>
            </w:r>
          </w:p>
        </w:tc>
      </w:tr>
      <w:tr w:rsidR="007F7FD8" w:rsidRPr="002A62CE" w:rsidTr="00D454D2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F7FD8" w:rsidRPr="002A62CE" w:rsidRDefault="007F7FD8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7FD8" w:rsidRPr="00A4469C" w:rsidRDefault="00F47798" w:rsidP="00D454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koncentraciju opasnih supstanci na radnom mestu.</w:t>
            </w:r>
          </w:p>
        </w:tc>
      </w:tr>
    </w:tbl>
    <w:p w:rsidR="009D4BEB" w:rsidRPr="002C21D4" w:rsidRDefault="009D4BEB" w:rsidP="009D4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D4BEB" w:rsidRPr="002A62CE" w:rsidRDefault="009D4BEB" w:rsidP="009D4BEB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D454D2" w:rsidRDefault="00D454D2" w:rsidP="00D454D2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1620"/>
        <w:gridCol w:w="4963"/>
      </w:tblGrid>
      <w:tr w:rsidR="007F7FD8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F7FD8" w:rsidRPr="002A62CE" w:rsidRDefault="007F7FD8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58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F7FD8" w:rsidRPr="002A62CE" w:rsidRDefault="007F7FD8" w:rsidP="00077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F47798">
              <w:rPr>
                <w:rFonts w:ascii="Times-New-Roman" w:hAnsi="Times-New-Roman" w:cs="Times-New-Roman"/>
                <w:lang w:val="de-DE"/>
              </w:rPr>
              <w:t>Materijal za rukavice: npr. nitrilna guma. Uzeti u obzir opasne karakteristike ovog proizvoda i specifičnost radnih uslova pri izboru adekvatnog tipa zaštitnih rukavica.</w:t>
            </w:r>
          </w:p>
        </w:tc>
      </w:tr>
      <w:tr w:rsidR="007F7FD8" w:rsidRPr="002A62CE" w:rsidTr="00D454D2">
        <w:trPr>
          <w:trHeight w:val="65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F7FD8" w:rsidRPr="002A62CE" w:rsidRDefault="007F7FD8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F7FD8" w:rsidRPr="002A62CE" w:rsidRDefault="00F47798" w:rsidP="00CC4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slučaju prašine ili aerosola koristiti respirator sa odgovarajućim filterom.</w:t>
            </w:r>
          </w:p>
        </w:tc>
      </w:tr>
      <w:tr w:rsidR="007F7FD8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7FD8" w:rsidRPr="002A62CE" w:rsidRDefault="007F7FD8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7FD8" w:rsidRPr="002A62CE" w:rsidRDefault="007F7FD8" w:rsidP="00AF51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7F7FD8" w:rsidRPr="002A62CE" w:rsidTr="00D454D2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7FD8" w:rsidRPr="002A62CE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Posebne higijenske mere: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7FD8" w:rsidRPr="002A62CE" w:rsidRDefault="00F10B43" w:rsidP="00F10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Rukovati u skladu sa dobrom industrijskom praksom što se tiče sigurnosti i higijene. </w:t>
            </w:r>
            <w:r w:rsidR="00F47798">
              <w:rPr>
                <w:rFonts w:ascii="Times-New-Roman" w:hAnsi="Times-New-Roman" w:cs="Times-New-Roman"/>
              </w:rPr>
              <w:t xml:space="preserve">Oprati ruke pre pauza i </w:t>
            </w:r>
            <w:r>
              <w:rPr>
                <w:rFonts w:ascii="Times-New-Roman" w:hAnsi="Times-New-Roman" w:cs="Times-New-Roman"/>
              </w:rPr>
              <w:t>na kraju radnog dana</w:t>
            </w:r>
            <w:r w:rsidR="00F47798">
              <w:rPr>
                <w:rFonts w:ascii="Times-New-Roman" w:hAnsi="Times-New-Roman" w:cs="Times-New-Roman"/>
              </w:rPr>
              <w:t xml:space="preserve">.  </w:t>
            </w:r>
          </w:p>
        </w:tc>
      </w:tr>
      <w:tr w:rsidR="007F7FD8" w:rsidRPr="002A62CE" w:rsidTr="00D454D2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F7FD8" w:rsidRPr="002A62CE" w:rsidRDefault="007F7FD8" w:rsidP="00923C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Kontrola izloženosti životne sredine: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F7FD8" w:rsidRPr="002A62CE" w:rsidRDefault="007F7FD8" w:rsidP="00923C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F7FD8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7FD8" w:rsidRPr="002A62CE" w:rsidRDefault="007F7FD8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Mere upravljanja rizikom: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7FD8" w:rsidRPr="002A62CE" w:rsidRDefault="007F7FD8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Videti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F7FD8" w:rsidRPr="002A62CE" w:rsidTr="00660653">
        <w:trPr>
          <w:trHeight w:val="57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F7FD8" w:rsidRPr="002A62CE" w:rsidRDefault="007F7FD8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7F7FD8" w:rsidRPr="002A62CE" w:rsidTr="00D454D2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F7FD8" w:rsidRPr="009E055F" w:rsidRDefault="007F7FD8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055F">
              <w:rPr>
                <w:rFonts w:ascii="Times New Roman" w:hAnsi="Times New Roman" w:cs="Times New Roman"/>
                <w:b/>
                <w:bCs/>
              </w:rPr>
              <w:t>9.1. Podaci o osnovnim fizičkim i hemijskim svojstvima hemikalije: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F7FD8" w:rsidRPr="009E055F" w:rsidRDefault="007F7FD8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1677F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677F" w:rsidRPr="00D454D2" w:rsidRDefault="0061677F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D454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54D2">
              <w:rPr>
                <w:rFonts w:ascii="Times New Roman" w:hAnsi="Times New Roman" w:cs="Times New Roman"/>
                <w:b/>
                <w:bCs/>
                <w:i/>
              </w:rPr>
              <w:t>Izgled-agregatno stanje</w:t>
            </w:r>
            <w:r w:rsidRPr="00D454D2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677F" w:rsidRPr="00D454D2" w:rsidRDefault="0061677F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454D2">
              <w:rPr>
                <w:rFonts w:ascii="Times New Roman" w:hAnsi="Times New Roman" w:cs="Times New Roman"/>
              </w:rPr>
              <w:t xml:space="preserve">U obliku </w:t>
            </w:r>
            <w:r w:rsidR="00F10B43" w:rsidRPr="00D454D2">
              <w:rPr>
                <w:rFonts w:ascii="Times New Roman" w:hAnsi="Times New Roman" w:cs="Times New Roman"/>
              </w:rPr>
              <w:t>granula, finog praha</w:t>
            </w:r>
            <w:r w:rsidRPr="00D454D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1677F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677F" w:rsidRPr="00D454D2" w:rsidRDefault="0061677F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D454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54D2">
              <w:rPr>
                <w:rFonts w:ascii="Times New Roman" w:hAnsi="Times New Roman" w:cs="Times New Roman"/>
                <w:b/>
                <w:bCs/>
                <w:i/>
              </w:rPr>
              <w:t>Boja: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677F" w:rsidRPr="00D454D2" w:rsidRDefault="00F10B43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454D2">
              <w:rPr>
                <w:rFonts w:ascii="Times New Roman" w:hAnsi="Times New Roman" w:cs="Times New Roman"/>
              </w:rPr>
              <w:t>Bela-svetlo žuta</w:t>
            </w:r>
            <w:r w:rsidR="0061677F" w:rsidRPr="00D454D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1677F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677F" w:rsidRPr="00D454D2" w:rsidRDefault="0061677F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</w:rPr>
              <w:t>- Miris: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677F" w:rsidRPr="00D454D2" w:rsidRDefault="00F47798" w:rsidP="00D454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54D2">
              <w:rPr>
                <w:rFonts w:ascii="Times New Roman" w:hAnsi="Times New Roman" w:cs="Times New Roman"/>
              </w:rPr>
              <w:t>Nema podataka</w:t>
            </w:r>
            <w:r w:rsidR="0061677F" w:rsidRPr="00D454D2">
              <w:rPr>
                <w:rFonts w:ascii="Times New Roman" w:hAnsi="Times New Roman" w:cs="Times New Roman"/>
              </w:rPr>
              <w:t>.</w:t>
            </w:r>
          </w:p>
        </w:tc>
      </w:tr>
      <w:tr w:rsidR="007F7FD8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-Prag mirisa: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50575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F7FD8" w:rsidRPr="00793C5F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7F7FD8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F7FD8" w:rsidRPr="00650575" w:rsidRDefault="007F7FD8" w:rsidP="001D6B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pH vrednost: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F7FD8" w:rsidRPr="00793C5F" w:rsidRDefault="005746A5" w:rsidP="00F477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93C5F">
              <w:rPr>
                <w:rFonts w:ascii="Times New Roman" w:hAnsi="Times New Roman" w:cs="Times New Roman"/>
              </w:rPr>
              <w:t>3,4 ( 10 g/l, 20 °C)</w:t>
            </w:r>
          </w:p>
        </w:tc>
      </w:tr>
      <w:tr w:rsidR="007F7FD8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Tačka topljenja/tačka mržnjenja: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°C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F7FD8" w:rsidRPr="00793C5F" w:rsidRDefault="0065057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93C5F">
              <w:rPr>
                <w:rFonts w:ascii="Times New Roman" w:hAnsi="Times New Roman" w:cs="Times New Roman"/>
              </w:rPr>
              <w:t>234 - 237 °C</w:t>
            </w:r>
          </w:p>
        </w:tc>
      </w:tr>
      <w:tr w:rsidR="007F7FD8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Početna tačka ključanja i opseg ključanja: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F7FD8" w:rsidRPr="00793C5F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7F7FD8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Tačka paljenja: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F7FD8" w:rsidRPr="00793C5F" w:rsidRDefault="00F10B4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93C5F">
              <w:rPr>
                <w:rFonts w:ascii="Times New Roman" w:hAnsi="Times New Roman" w:cs="Times New Roman"/>
              </w:rPr>
              <w:t>193 °C</w:t>
            </w:r>
          </w:p>
        </w:tc>
      </w:tr>
      <w:tr w:rsidR="007F7FD8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Brzina isparavanja: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F7FD8" w:rsidRPr="00650575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</w:rPr>
              <w:t>Kg/(m</w:t>
            </w:r>
            <w:r w:rsidRPr="0065057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650575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F7FD8" w:rsidRPr="00793C5F" w:rsidRDefault="007F7FD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920541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920541" w:rsidRPr="00650575" w:rsidRDefault="0092054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Zapaljivost (čvrsto, gasovito)</w:t>
            </w:r>
            <w:r w:rsidRPr="0065057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0541" w:rsidRPr="00650575" w:rsidRDefault="0092054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10B43" w:rsidRPr="00D454D2" w:rsidRDefault="00F10B4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D454D2">
              <w:rPr>
                <w:rFonts w:ascii="Times New Roman" w:hAnsi="Times New Roman" w:cs="Times New Roman"/>
              </w:rPr>
              <w:t>Nije visoko zapaljivo. Metod: Zapaljivost(čvrsto)</w:t>
            </w:r>
          </w:p>
        </w:tc>
      </w:tr>
      <w:tr w:rsidR="002A62CE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Gornja/donja granica zapaljivosti ili eksplozivnosti: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793C5F" w:rsidRPr="00D454D2" w:rsidRDefault="00793C5F" w:rsidP="00793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54D2">
              <w:rPr>
                <w:rFonts w:ascii="Times New Roman" w:hAnsi="Times New Roman" w:cs="Times New Roman"/>
              </w:rPr>
              <w:t>580 °C (DIN 51794)</w:t>
            </w:r>
          </w:p>
          <w:p w:rsidR="006A7CCC" w:rsidRPr="00D454D2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50575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50575" w:rsidRPr="00650575" w:rsidRDefault="0065057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Napon pare: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575" w:rsidRPr="00650575" w:rsidRDefault="00650575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50575">
              <w:rPr>
                <w:rFonts w:ascii="Times New Roman" w:hAnsi="Times New Roman" w:cs="Times New Roman"/>
                <w:bCs/>
                <w:i/>
              </w:rPr>
              <w:t>hPa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650575" w:rsidRPr="00793C5F" w:rsidRDefault="00650575" w:rsidP="00793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 xml:space="preserve">0,1 </w:t>
            </w:r>
            <w:r w:rsidR="00793C5F">
              <w:rPr>
                <w:rFonts w:ascii="Times New Roman" w:hAnsi="Times New Roman" w:cs="Times New Roman"/>
                <w:lang w:val="de-DE"/>
              </w:rPr>
              <w:t>(</w:t>
            </w:r>
            <w:r w:rsidRPr="00793C5F">
              <w:rPr>
                <w:rFonts w:ascii="Times New Roman" w:hAnsi="Times New Roman" w:cs="Times New Roman"/>
                <w:lang w:val="de-DE"/>
              </w:rPr>
              <w:t>na 50</w:t>
            </w:r>
            <w:r w:rsidRPr="00793C5F">
              <w:rPr>
                <w:rFonts w:ascii="Times New Roman" w:hAnsi="Times New Roman" w:cs="Times New Roman"/>
                <w:bCs/>
              </w:rPr>
              <w:t>°C-izračunata vrednost</w:t>
            </w:r>
            <w:r w:rsidR="00793C5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A62CE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D454D2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F477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650575">
              <w:rPr>
                <w:rFonts w:ascii="Times New Roman" w:hAnsi="Times New Roman" w:cs="Times New Roman"/>
                <w:b/>
                <w:i/>
                <w:lang w:val="en-GB"/>
              </w:rPr>
              <w:t>Relativna gustina</w:t>
            </w:r>
            <w:r w:rsidR="001D6BFF" w:rsidRPr="00650575">
              <w:rPr>
                <w:rFonts w:ascii="Times New Roman" w:hAnsi="Times New Roman" w:cs="Times New Roman"/>
                <w:b/>
                <w:i/>
                <w:lang w:val="en-GB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50575" w:rsidP="001D6B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</w:rPr>
              <w:t>g/cm</w:t>
            </w:r>
            <w:r w:rsidR="00417A24" w:rsidRPr="0065057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D454D2" w:rsidRDefault="00650575" w:rsidP="006505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793C5F">
              <w:rPr>
                <w:rFonts w:ascii="Times New Roman" w:hAnsi="Times New Roman" w:cs="Times New Roman"/>
              </w:rPr>
              <w:t>1,47 (na 20 °C)</w:t>
            </w:r>
          </w:p>
        </w:tc>
      </w:tr>
      <w:tr w:rsidR="002A62CE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-Rastvorljivost: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  <w:i/>
                <w:lang w:val="de-DE"/>
              </w:rPr>
              <w:t>g/l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50575" w:rsidRPr="00793C5F" w:rsidRDefault="00650575" w:rsidP="006505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3C5F">
              <w:rPr>
                <w:rFonts w:ascii="Times New Roman" w:hAnsi="Times New Roman" w:cs="Times New Roman"/>
                <w:bCs/>
              </w:rPr>
              <w:t xml:space="preserve">U vodi: </w:t>
            </w:r>
            <w:r w:rsidRPr="00793C5F">
              <w:rPr>
                <w:rFonts w:ascii="Times New Roman" w:hAnsi="Times New Roman" w:cs="Times New Roman"/>
              </w:rPr>
              <w:t>14 g/l (20 °C);  100 g/l (100 °C)</w:t>
            </w:r>
          </w:p>
          <w:p w:rsidR="00650575" w:rsidRPr="00793C5F" w:rsidRDefault="00650575" w:rsidP="006505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3C5F">
              <w:rPr>
                <w:rFonts w:ascii="Times New Roman" w:hAnsi="Times New Roman" w:cs="Times New Roman"/>
              </w:rPr>
              <w:t>U etanolu: 12,5 g/l ( 25 °C)</w:t>
            </w:r>
          </w:p>
          <w:p w:rsidR="00650575" w:rsidRPr="00793C5F" w:rsidRDefault="00650575" w:rsidP="006505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3C5F">
              <w:rPr>
                <w:rFonts w:ascii="Times New Roman" w:hAnsi="Times New Roman" w:cs="Times New Roman"/>
              </w:rPr>
              <w:t>U dietiletru: praktično nerastvoran</w:t>
            </w:r>
          </w:p>
          <w:p w:rsidR="00650575" w:rsidRPr="00793C5F" w:rsidRDefault="00650575" w:rsidP="006505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93C5F">
              <w:rPr>
                <w:rFonts w:ascii="Times New Roman" w:hAnsi="Times New Roman" w:cs="Times New Roman"/>
              </w:rPr>
              <w:t>U rastvorima alkalnih hidroksida: lako rastvoran</w:t>
            </w:r>
          </w:p>
        </w:tc>
      </w:tr>
      <w:tr w:rsidR="00793C5F" w:rsidRPr="00793C5F" w:rsidTr="00D454D2">
        <w:trPr>
          <w:trHeight w:val="1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</w:rPr>
              <w:t>- Koeficijent raspodele u sistemu  n-oktanol/voda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50575">
              <w:rPr>
                <w:rFonts w:ascii="Times New Roman" w:hAnsi="Times New Roman" w:cs="Times New Roman"/>
                <w:bCs/>
                <w:i/>
              </w:rPr>
              <w:t>logPow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793C5F" w:rsidRDefault="0065057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3C5F">
              <w:rPr>
                <w:rFonts w:ascii="Times New Roman" w:hAnsi="Times New Roman" w:cs="Times New Roman"/>
              </w:rPr>
              <w:t>-0,59 ( 25 °C )</w:t>
            </w:r>
          </w:p>
        </w:tc>
      </w:tr>
      <w:tr w:rsidR="002A62CE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65057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r w:rsidRPr="00650575">
              <w:rPr>
                <w:rFonts w:ascii="Times New Roman" w:hAnsi="Times New Roman" w:cs="Times New Roman"/>
                <w:b/>
                <w:i/>
              </w:rPr>
              <w:t>Temperatura samopaljenja</w:t>
            </w:r>
            <w:r w:rsidRPr="00650575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793C5F" w:rsidRDefault="0092054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650575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r w:rsidRPr="00650575">
              <w:rPr>
                <w:rFonts w:ascii="Times New Roman" w:hAnsi="Times New Roman" w:cs="Times New Roman"/>
                <w:b/>
                <w:i/>
              </w:rPr>
              <w:t>Temperatura razlaganja</w:t>
            </w:r>
            <w:r w:rsidRPr="00650575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650575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50575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793C5F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D454D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9E055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E055F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Viskozitet: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9E055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E055F">
              <w:rPr>
                <w:rFonts w:ascii="Times New Roman" w:hAnsi="Times New Roman" w:cs="Times New Roman"/>
                <w:bCs/>
              </w:rPr>
              <w:t>mPa 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793C5F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D454D2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9E055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9E055F">
              <w:rPr>
                <w:rFonts w:ascii="Times New Roman" w:hAnsi="Times New Roman" w:cs="Times New Roman"/>
                <w:b/>
                <w:bCs/>
                <w:i/>
              </w:rPr>
              <w:t>- Eksplozivna svojstva: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CCC" w:rsidRPr="009E055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E055F">
              <w:rPr>
                <w:rFonts w:ascii="Times New Roman" w:hAnsi="Times New Roman" w:cs="Times New Roman"/>
                <w:bCs/>
              </w:rPr>
              <w:t>vol. %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793C5F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D454D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6A7CCC" w:rsidRPr="009E055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9E055F">
              <w:rPr>
                <w:rFonts w:ascii="Times New Roman" w:hAnsi="Times New Roman" w:cs="Times New Roman"/>
                <w:b/>
                <w:bCs/>
                <w:i/>
              </w:rPr>
              <w:t>- Oksidujuća svojstva:</w:t>
            </w:r>
          </w:p>
        </w:tc>
        <w:tc>
          <w:tcPr>
            <w:tcW w:w="16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7CCC" w:rsidRPr="009E055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6A7CCC" w:rsidRPr="009E055F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E055F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</w:tbl>
    <w:p w:rsidR="009D4BEB" w:rsidRPr="002C21D4" w:rsidRDefault="009D4BEB" w:rsidP="009D4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D4BEB" w:rsidRPr="002A62CE" w:rsidRDefault="009D4BEB" w:rsidP="009D4BEB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D454D2" w:rsidRDefault="00D454D2" w:rsidP="00D454D2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90"/>
        <w:gridCol w:w="810"/>
        <w:gridCol w:w="5683"/>
      </w:tblGrid>
      <w:tr w:rsidR="002A62CE" w:rsidRPr="002A62CE" w:rsidTr="00F639F0">
        <w:trPr>
          <w:trHeight w:val="465"/>
          <w:jc w:val="center"/>
        </w:trPr>
        <w:tc>
          <w:tcPr>
            <w:tcW w:w="442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6A7CCC" w:rsidRPr="00D454D2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9.2. Ostali podaci:</w:t>
            </w:r>
          </w:p>
        </w:tc>
        <w:tc>
          <w:tcPr>
            <w:tcW w:w="90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6A7CCC" w:rsidRPr="00D454D2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6A7CCC" w:rsidRPr="00D454D2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454D2" w:rsidRPr="00D454D2" w:rsidTr="00F639F0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746A5" w:rsidRPr="00D454D2" w:rsidRDefault="005746A5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-Molekulska masa: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6A5" w:rsidRPr="00D454D2" w:rsidRDefault="005746A5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Cs/>
                <w:i/>
                <w:lang w:val="de-DE"/>
              </w:rPr>
              <w:t>g/mol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46A5" w:rsidRPr="00793C5F" w:rsidRDefault="005746A5" w:rsidP="005746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>123,11</w:t>
            </w:r>
          </w:p>
        </w:tc>
      </w:tr>
      <w:tr w:rsidR="00D454D2" w:rsidRPr="00D454D2" w:rsidTr="00F639F0">
        <w:trPr>
          <w:trHeight w:val="288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650575" w:rsidRPr="00D454D2" w:rsidRDefault="00650575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</w:rPr>
              <w:t>-Konstanta disocijacije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575" w:rsidRPr="00D454D2" w:rsidRDefault="00650575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454D2">
              <w:rPr>
                <w:rFonts w:ascii="Times New Roman" w:hAnsi="Times New Roman" w:cs="Times New Roman"/>
                <w:bCs/>
              </w:rPr>
              <w:t>pKa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50575" w:rsidRPr="00793C5F" w:rsidRDefault="00650575" w:rsidP="006505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93C5F">
              <w:rPr>
                <w:rFonts w:ascii="Times New Roman" w:hAnsi="Times New Roman" w:cs="Times New Roman"/>
                <w:bCs/>
              </w:rPr>
              <w:t>4,85</w:t>
            </w:r>
          </w:p>
        </w:tc>
      </w:tr>
      <w:tr w:rsidR="00D454D2" w:rsidRPr="00D454D2" w:rsidTr="00F639F0">
        <w:trPr>
          <w:trHeight w:val="8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746A5" w:rsidRPr="00D454D2" w:rsidRDefault="005746A5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Tačka samopaljenja</w:t>
            </w:r>
            <w:r w:rsidRPr="00D454D2">
              <w:rPr>
                <w:rFonts w:ascii="Times New Roman" w:hAnsi="Times New Roman" w:cs="Times New Roman"/>
                <w:bCs/>
                <w:i/>
                <w:lang w:val="de-DE"/>
              </w:rPr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6A5" w:rsidRPr="00D454D2" w:rsidRDefault="005746A5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454D2">
              <w:rPr>
                <w:rFonts w:ascii="Times New Roman" w:hAnsi="Times New Roman" w:cs="Times New Roman"/>
                <w:bCs/>
                <w:i/>
                <w:lang w:val="de-DE"/>
              </w:rPr>
              <w:t>°C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46A5" w:rsidRPr="00793C5F" w:rsidRDefault="005746A5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>Efekat samopaljenja nije zapažen u Gruverovoj pećnici pri temperaturama ispod tačke topljenja.</w:t>
            </w:r>
          </w:p>
        </w:tc>
      </w:tr>
      <w:tr w:rsidR="00D454D2" w:rsidRPr="00D454D2" w:rsidTr="00F639F0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454D2">
              <w:rPr>
                <w:rFonts w:ascii="Times New Roman" w:hAnsi="Times New Roman" w:cs="Times New Roman"/>
                <w:lang w:val="de-DE"/>
              </w:rPr>
              <w:t>5 (ca. 21°C)</w:t>
            </w:r>
          </w:p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D454D2">
              <w:rPr>
                <w:rFonts w:ascii="Times New Roman" w:hAnsi="Times New Roman" w:cs="Times New Roman"/>
                <w:lang w:val="de-DE"/>
              </w:rPr>
              <w:t>5 (100°C)</w:t>
            </w:r>
          </w:p>
        </w:tc>
      </w:tr>
      <w:tr w:rsidR="00D454D2" w:rsidRPr="00D454D2" w:rsidTr="00F639F0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D454D2" w:rsidRDefault="00F10B43" w:rsidP="00F10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454D2">
              <w:rPr>
                <w:rFonts w:ascii="Times New Roman" w:hAnsi="Times New Roman" w:cs="Times New Roman"/>
                <w:lang w:val="de-DE"/>
              </w:rPr>
              <w:t>St2 (srednja vrednost testiranog uzorka 0,025 mm)</w:t>
            </w:r>
          </w:p>
        </w:tc>
      </w:tr>
      <w:tr w:rsidR="00D454D2" w:rsidRPr="00D454D2" w:rsidTr="00F639F0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Svojstva prašinske eksplozije: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D454D2" w:rsidRDefault="00F10B43" w:rsidP="00D454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454D2">
              <w:rPr>
                <w:rFonts w:ascii="Times New Roman" w:hAnsi="Times New Roman" w:cs="Times New Roman"/>
                <w:lang w:val="de-DE"/>
              </w:rPr>
              <w:t>KSt vrednost: ca.236</w:t>
            </w:r>
            <w:r w:rsidR="00D454D2" w:rsidRPr="00D454D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D454D2">
              <w:rPr>
                <w:rFonts w:ascii="Times New Roman" w:hAnsi="Times New Roman" w:cs="Times New Roman"/>
                <w:lang w:val="de-DE"/>
              </w:rPr>
              <w:t>m.bar/s (srednja vrednost testiranog uzorka 0,0</w:t>
            </w:r>
            <w:r w:rsidR="005746A5" w:rsidRPr="00D454D2">
              <w:rPr>
                <w:rFonts w:ascii="Times New Roman" w:hAnsi="Times New Roman" w:cs="Times New Roman"/>
                <w:lang w:val="de-DE"/>
              </w:rPr>
              <w:t>25</w:t>
            </w:r>
            <w:r w:rsidRPr="00D454D2">
              <w:rPr>
                <w:rFonts w:ascii="Times New Roman" w:hAnsi="Times New Roman" w:cs="Times New Roman"/>
                <w:lang w:val="de-DE"/>
              </w:rPr>
              <w:t xml:space="preserve"> mm)</w:t>
            </w:r>
          </w:p>
        </w:tc>
      </w:tr>
      <w:tr w:rsidR="00D454D2" w:rsidRPr="00D454D2" w:rsidTr="00F639F0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Maksimalni nadpritisak eksplozije: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D454D2" w:rsidRDefault="005746A5" w:rsidP="005746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454D2">
              <w:rPr>
                <w:rFonts w:ascii="Times New Roman" w:hAnsi="Times New Roman" w:cs="Times New Roman"/>
                <w:lang w:val="de-DE"/>
              </w:rPr>
              <w:t>8,3</w:t>
            </w:r>
            <w:r w:rsidR="00F10B43" w:rsidRPr="00D454D2">
              <w:rPr>
                <w:rFonts w:ascii="Times New Roman" w:hAnsi="Times New Roman" w:cs="Times New Roman"/>
                <w:lang w:val="de-DE"/>
              </w:rPr>
              <w:t xml:space="preserve"> bar (srednja vrednost testiranog uzorka 0,0</w:t>
            </w:r>
            <w:r w:rsidRPr="00D454D2">
              <w:rPr>
                <w:rFonts w:ascii="Times New Roman" w:hAnsi="Times New Roman" w:cs="Times New Roman"/>
                <w:lang w:val="de-DE"/>
              </w:rPr>
              <w:t>25 mm</w:t>
            </w:r>
            <w:r w:rsidR="00F10B43" w:rsidRPr="00D454D2">
              <w:rPr>
                <w:rFonts w:ascii="Times New Roman" w:hAnsi="Times New Roman" w:cs="Times New Roman"/>
                <w:lang w:val="de-DE"/>
              </w:rPr>
              <w:t>)</w:t>
            </w:r>
          </w:p>
        </w:tc>
      </w:tr>
      <w:tr w:rsidR="00D454D2" w:rsidRPr="00D454D2" w:rsidTr="00F639F0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D454D2" w:rsidRDefault="005746A5" w:rsidP="00574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454D2">
              <w:rPr>
                <w:rFonts w:ascii="Times New Roman" w:hAnsi="Times New Roman" w:cs="Times New Roman"/>
                <w:lang w:val="de-DE"/>
              </w:rPr>
              <w:t xml:space="preserve">430 </w:t>
            </w:r>
            <w:r w:rsidR="00F10B43" w:rsidRPr="00D454D2">
              <w:rPr>
                <w:rFonts w:ascii="Times New Roman" w:hAnsi="Times New Roman" w:cs="Times New Roman"/>
                <w:lang w:val="de-DE"/>
              </w:rPr>
              <w:t>°C (određena u BAM pećnici)</w:t>
            </w:r>
          </w:p>
        </w:tc>
      </w:tr>
      <w:tr w:rsidR="00D454D2" w:rsidRPr="00D454D2" w:rsidTr="00F639F0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Otpornost zapremine praha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793C5F" w:rsidRDefault="00F10B43" w:rsidP="00793C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 xml:space="preserve">ca. </w:t>
            </w:r>
            <w:r w:rsidR="005746A5" w:rsidRPr="00793C5F">
              <w:rPr>
                <w:rFonts w:ascii="Times New Roman" w:hAnsi="Times New Roman" w:cs="Times New Roman"/>
                <w:lang w:val="de-DE"/>
              </w:rPr>
              <w:t>3</w:t>
            </w:r>
            <w:r w:rsidRPr="00793C5F">
              <w:rPr>
                <w:rFonts w:ascii="Times New Roman" w:hAnsi="Times New Roman" w:cs="Times New Roman"/>
                <w:lang w:val="de-DE"/>
              </w:rPr>
              <w:t>E+1</w:t>
            </w:r>
            <w:r w:rsidR="005746A5" w:rsidRPr="00793C5F">
              <w:rPr>
                <w:rFonts w:ascii="Times New Roman" w:hAnsi="Times New Roman" w:cs="Times New Roman"/>
                <w:lang w:val="de-DE"/>
              </w:rPr>
              <w:t>2</w:t>
            </w:r>
            <w:r w:rsidRPr="00793C5F">
              <w:rPr>
                <w:rFonts w:ascii="Times New Roman" w:hAnsi="Times New Roman" w:cs="Times New Roman"/>
                <w:lang w:val="de-DE"/>
              </w:rPr>
              <w:t xml:space="preserve"> Oma(uzorak proizvoda, srednja vrednost testiranog uzorka 0,</w:t>
            </w:r>
            <w:r w:rsidR="005746A5" w:rsidRPr="00793C5F">
              <w:rPr>
                <w:rFonts w:ascii="Times New Roman" w:hAnsi="Times New Roman" w:cs="Times New Roman"/>
                <w:lang w:val="de-DE"/>
              </w:rPr>
              <w:t>35</w:t>
            </w:r>
            <w:r w:rsidRPr="00793C5F">
              <w:rPr>
                <w:rFonts w:ascii="Times New Roman" w:hAnsi="Times New Roman" w:cs="Times New Roman"/>
                <w:lang w:val="de-DE"/>
              </w:rPr>
              <w:t xml:space="preserve"> mm, gubitak pri sušenju </w:t>
            </w:r>
            <w:r w:rsidR="005746A5" w:rsidRPr="00793C5F">
              <w:rPr>
                <w:rFonts w:ascii="Times New Roman" w:hAnsi="Times New Roman" w:cs="Times New Roman"/>
                <w:lang w:val="de-DE"/>
              </w:rPr>
              <w:t>0,2</w:t>
            </w:r>
            <w:r w:rsidRPr="00793C5F">
              <w:rPr>
                <w:rFonts w:ascii="Times New Roman" w:hAnsi="Times New Roman" w:cs="Times New Roman"/>
                <w:lang w:val="de-DE"/>
              </w:rPr>
              <w:t xml:space="preserve"> %) </w:t>
            </w:r>
          </w:p>
          <w:p w:rsidR="00F10B43" w:rsidRPr="00793C5F" w:rsidRDefault="00F10B43" w:rsidP="00793C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 xml:space="preserve">Materijal ima sposobnost akumulacije </w:t>
            </w:r>
            <w:r w:rsidRPr="00793C5F">
              <w:rPr>
                <w:rFonts w:ascii="Times New Roman" w:hAnsi="Times New Roman" w:cs="Times New Roman"/>
              </w:rPr>
              <w:t>statičkog elektriciteta</w:t>
            </w:r>
            <w:r w:rsidRPr="00793C5F">
              <w:rPr>
                <w:rFonts w:ascii="Times New Roman" w:hAnsi="Times New Roman" w:cs="Times New Roman"/>
                <w:lang w:val="de-DE"/>
              </w:rPr>
              <w:t xml:space="preserve"> i može izazvati požar)</w:t>
            </w:r>
          </w:p>
        </w:tc>
      </w:tr>
      <w:tr w:rsidR="00D454D2" w:rsidRPr="00D454D2" w:rsidTr="00F639F0">
        <w:trPr>
          <w:trHeight w:val="7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Minimalna energija sagorevanja</w:t>
            </w:r>
          </w:p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793C5F" w:rsidRDefault="005746A5" w:rsidP="00574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793C5F">
              <w:rPr>
                <w:rFonts w:ascii="Times New Roman" w:hAnsi="Times New Roman" w:cs="Times New Roman"/>
                <w:lang w:val="de-DE"/>
              </w:rPr>
              <w:t>1-3</w:t>
            </w:r>
            <w:r w:rsidR="00F10B43" w:rsidRPr="00793C5F">
              <w:rPr>
                <w:rFonts w:ascii="Times New Roman" w:hAnsi="Times New Roman" w:cs="Times New Roman"/>
                <w:lang w:val="de-DE"/>
              </w:rPr>
              <w:t xml:space="preserve"> mJ (srednja vrednost testiranog uzorka 0,0</w:t>
            </w:r>
            <w:r w:rsidRPr="00793C5F">
              <w:rPr>
                <w:rFonts w:ascii="Times New Roman" w:hAnsi="Times New Roman" w:cs="Times New Roman"/>
                <w:lang w:val="de-DE"/>
              </w:rPr>
              <w:t>219</w:t>
            </w:r>
            <w:r w:rsidR="00F10B43" w:rsidRPr="00793C5F">
              <w:rPr>
                <w:rFonts w:ascii="Times New Roman" w:hAnsi="Times New Roman" w:cs="Times New Roman"/>
                <w:lang w:val="de-DE"/>
              </w:rPr>
              <w:t xml:space="preserve"> mm,gubitak pri sušenju </w:t>
            </w:r>
            <w:r w:rsidRPr="00793C5F">
              <w:rPr>
                <w:rFonts w:ascii="Times New Roman" w:hAnsi="Times New Roman" w:cs="Times New Roman"/>
                <w:lang w:val="de-DE"/>
              </w:rPr>
              <w:t>0,26</w:t>
            </w:r>
            <w:r w:rsidR="00F10B43" w:rsidRPr="00793C5F">
              <w:rPr>
                <w:rFonts w:ascii="Times New Roman" w:hAnsi="Times New Roman" w:cs="Times New Roman"/>
                <w:lang w:val="de-DE"/>
              </w:rPr>
              <w:t>%)</w:t>
            </w:r>
          </w:p>
        </w:tc>
      </w:tr>
      <w:tr w:rsidR="00F10B43" w:rsidTr="000E0E1B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D454D2">
              <w:rPr>
                <w:rFonts w:ascii="Times New Roman" w:hAnsi="Times New Roman" w:cs="Times New Roman"/>
                <w:bCs/>
                <w:i/>
                <w:lang w:val="de-DE"/>
              </w:rPr>
              <w:t>Mimimalna energija sagorevanja mešavine prašina/vazduh zavisi od veličine čestica vodenog sadržaja i temperature prašine.Što je finija(sitnija) i suvlja prašina, to je niža vrednost MES</w:t>
            </w:r>
          </w:p>
        </w:tc>
      </w:tr>
      <w:tr w:rsidR="00F10B43" w:rsidTr="000E0E1B">
        <w:trPr>
          <w:trHeight w:val="80"/>
          <w:jc w:val="center"/>
        </w:trPr>
        <w:tc>
          <w:tcPr>
            <w:tcW w:w="11006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B43" w:rsidRPr="00D454D2" w:rsidRDefault="00F10B43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D454D2">
              <w:rPr>
                <w:rFonts w:ascii="Times New Roman" w:hAnsi="Times New Roman" w:cs="Times New Roman"/>
                <w:lang w:val="de-DE"/>
              </w:rPr>
              <w:t>Generalna primedba: Indikovane karakteristike eksplozije prašine su samo validne u slučaju ovog proizvoda i zavise od parametara uzorka.</w:t>
            </w:r>
          </w:p>
        </w:tc>
      </w:tr>
      <w:tr w:rsidR="002A62CE" w:rsidRPr="002A62CE" w:rsidTr="00AB6F79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10. REAKTIVNOST I STABILNOST</w:t>
            </w:r>
          </w:p>
        </w:tc>
      </w:tr>
      <w:tr w:rsidR="007F7FD8" w:rsidRPr="002A62CE" w:rsidTr="00F639F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7FD8" w:rsidRPr="00F639F0" w:rsidRDefault="007F7FD8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F639F0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7FD8" w:rsidRPr="00F639F0" w:rsidRDefault="0022204F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lang w:val="de-DE"/>
              </w:rPr>
              <w:t>Proizvod je stabilan</w:t>
            </w:r>
            <w:r w:rsidR="0061677F" w:rsidRPr="00F639F0">
              <w:rPr>
                <w:rFonts w:ascii="Times New Roman" w:hAnsi="Times New Roman" w:cs="Times New Roman"/>
                <w:lang w:val="de-DE"/>
              </w:rPr>
              <w:t xml:space="preserve"> ukoliko se rukuje </w:t>
            </w:r>
            <w:r w:rsidRPr="00F639F0">
              <w:rPr>
                <w:rFonts w:ascii="Times New Roman" w:hAnsi="Times New Roman" w:cs="Times New Roman"/>
                <w:lang w:val="de-DE"/>
              </w:rPr>
              <w:t xml:space="preserve">i skladišti </w:t>
            </w:r>
            <w:r w:rsidR="0061677F" w:rsidRPr="00F639F0">
              <w:rPr>
                <w:rFonts w:ascii="Times New Roman" w:hAnsi="Times New Roman" w:cs="Times New Roman"/>
                <w:lang w:val="de-DE"/>
              </w:rPr>
              <w:t xml:space="preserve">kako je propisano. </w:t>
            </w:r>
          </w:p>
        </w:tc>
      </w:tr>
      <w:tr w:rsidR="0022204F" w:rsidRPr="002A62CE" w:rsidTr="00F639F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204F" w:rsidRPr="00F639F0" w:rsidRDefault="0022204F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204F" w:rsidRPr="00F639F0" w:rsidRDefault="0022204F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lang w:val="de-DE"/>
              </w:rPr>
              <w:t xml:space="preserve">Proizvod je stabilan ukoliko se rukuje i skladišti kako je propisano. </w:t>
            </w:r>
          </w:p>
        </w:tc>
      </w:tr>
      <w:tr w:rsidR="002A62CE" w:rsidRPr="002A62CE" w:rsidTr="00F639F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F639F0" w:rsidRDefault="006A7CCC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F639F0" w:rsidRDefault="001527B0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639F0">
              <w:rPr>
                <w:rFonts w:ascii="Times New Roman" w:hAnsi="Times New Roman" w:cs="Times New Roman"/>
                <w:bCs/>
                <w:lang w:val="de-DE"/>
              </w:rPr>
              <w:t>Prašina može stvoriti eksplozivnu mešavinu sa vazduhom.</w:t>
            </w:r>
          </w:p>
        </w:tc>
      </w:tr>
      <w:tr w:rsidR="002A62CE" w:rsidRPr="002A62CE" w:rsidTr="00F639F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F639F0" w:rsidRDefault="006A7CCC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b/>
                <w:bCs/>
                <w:lang w:val="de-DE"/>
              </w:rPr>
              <w:t>10.4. Uslovi koje treba izbegavati: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F639F0" w:rsidRDefault="001527B0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639F0">
              <w:rPr>
                <w:rFonts w:ascii="Times New Roman" w:hAnsi="Times New Roman" w:cs="Times New Roman"/>
                <w:lang w:val="de-DE"/>
              </w:rPr>
              <w:t>Toplota.</w:t>
            </w:r>
          </w:p>
        </w:tc>
      </w:tr>
      <w:tr w:rsidR="002A62CE" w:rsidRPr="002A62CE" w:rsidTr="00F639F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F639F0" w:rsidRDefault="006A7CCC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F639F0" w:rsidRDefault="001527B0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639F0">
              <w:rPr>
                <w:rFonts w:ascii="Times New Roman" w:hAnsi="Times New Roman" w:cs="Times New Roman"/>
                <w:bCs/>
                <w:lang w:val="de-DE"/>
              </w:rPr>
              <w:t>Jake kiseline i jake baze. Jaka oksidaciona sredstva.</w:t>
            </w:r>
          </w:p>
        </w:tc>
      </w:tr>
      <w:tr w:rsidR="0022204F" w:rsidRPr="002A62CE" w:rsidTr="00F639F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204F" w:rsidRPr="00F639F0" w:rsidRDefault="0022204F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b/>
                <w:bCs/>
                <w:lang w:val="de-DE"/>
              </w:rPr>
              <w:t>10.6. Opasni proizvodi razgradnje: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204F" w:rsidRPr="00F639F0" w:rsidRDefault="0022204F" w:rsidP="00F639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F639F0">
              <w:rPr>
                <w:rFonts w:ascii="Times New Roman" w:hAnsi="Times New Roman" w:cs="Times New Roman"/>
                <w:lang w:val="de-DE"/>
              </w:rPr>
              <w:t xml:space="preserve">Proizvod je stabilan ukoliko se rukuje i skladišti kako je propisano. </w:t>
            </w:r>
          </w:p>
        </w:tc>
      </w:tr>
      <w:tr w:rsidR="002A62CE" w:rsidRPr="002A62CE" w:rsidTr="00923CD0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2A62CE" w:rsidRDefault="00F103C0" w:rsidP="006167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2A62CE" w:rsidRPr="002A62CE" w:rsidTr="00660653">
        <w:trPr>
          <w:trHeight w:val="21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2A62CE" w:rsidRDefault="006A7CCC" w:rsidP="0092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11.1. a) Akutna toksičnost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2A62CE" w:rsidRDefault="00F103C0" w:rsidP="003F62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D4F8C" w:rsidRPr="005252C9" w:rsidTr="0022204F">
        <w:trPr>
          <w:trHeight w:val="80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D4F8C" w:rsidRPr="0022204F" w:rsidRDefault="004D4F8C" w:rsidP="00C438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2204F">
              <w:rPr>
                <w:rFonts w:ascii="Times New Roman" w:hAnsi="Times New Roman" w:cs="Times New Roman"/>
                <w:i/>
              </w:rPr>
              <w:t>Na usta (LD</w:t>
            </w:r>
            <w:r w:rsidRPr="0022204F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2204F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D4F8C" w:rsidRPr="0022204F" w:rsidRDefault="0022204F" w:rsidP="0022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2204F">
              <w:rPr>
                <w:rFonts w:ascii="Times New Roman" w:hAnsi="Times New Roman" w:cs="Times New Roman"/>
              </w:rPr>
              <w:t>LD50: 3 010 mg/kg (miš)</w:t>
            </w:r>
          </w:p>
        </w:tc>
      </w:tr>
      <w:tr w:rsidR="001527B0" w:rsidRPr="00FF0DD9" w:rsidTr="001527B0">
        <w:trPr>
          <w:trHeight w:val="135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22204F" w:rsidRDefault="001527B0" w:rsidP="00222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2204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22204F" w:rsidRDefault="0022204F" w:rsidP="002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04F">
              <w:rPr>
                <w:rFonts w:ascii="Times New Roman" w:hAnsi="Times New Roman" w:cs="Times New Roman"/>
              </w:rPr>
              <w:t>LD50: &gt; 5 000 mg/kg (pacov) (OECD smernica za ispitivanje 401)</w:t>
            </w:r>
          </w:p>
        </w:tc>
      </w:tr>
      <w:tr w:rsidR="004D4F8C" w:rsidRPr="005252C9" w:rsidTr="00660653">
        <w:trPr>
          <w:trHeight w:val="135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D4F8C" w:rsidRPr="0022204F" w:rsidRDefault="004D4F8C" w:rsidP="00C438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2204F">
              <w:rPr>
                <w:rFonts w:ascii="Times New Roman" w:hAnsi="Times New Roman" w:cs="Times New Roman"/>
                <w:i/>
              </w:rPr>
              <w:t>Preko pluća (LC</w:t>
            </w:r>
            <w:r w:rsidRPr="0022204F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2204F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D4F8C" w:rsidRPr="0022204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2204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D4F8C" w:rsidRPr="00A4469C" w:rsidTr="00F639F0">
        <w:trPr>
          <w:trHeight w:val="407"/>
          <w:jc w:val="center"/>
        </w:trPr>
        <w:tc>
          <w:tcPr>
            <w:tcW w:w="451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D4F8C" w:rsidRPr="0022204F" w:rsidRDefault="004D4F8C" w:rsidP="00C438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2204F">
              <w:rPr>
                <w:rFonts w:ascii="Times New Roman" w:hAnsi="Times New Roman" w:cs="Times New Roman"/>
                <w:i/>
              </w:rPr>
              <w:t>Kožom (LD</w:t>
            </w:r>
            <w:r w:rsidRPr="0022204F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2204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49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D4F8C" w:rsidRPr="0022204F" w:rsidRDefault="0022204F" w:rsidP="002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04F">
              <w:rPr>
                <w:rFonts w:ascii="Times New Roman" w:hAnsi="Times New Roman" w:cs="Times New Roman"/>
              </w:rPr>
              <w:t>LD50: &gt; 2 000 mg/kg (pacov) (OECD smernica za ispitivanje 402)</w:t>
            </w:r>
          </w:p>
        </w:tc>
      </w:tr>
    </w:tbl>
    <w:p w:rsidR="009D4BEB" w:rsidRPr="002C21D4" w:rsidRDefault="009D4BEB" w:rsidP="009D4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D4BEB" w:rsidRPr="002A62CE" w:rsidRDefault="009D4BEB" w:rsidP="009D4BEB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F639F0" w:rsidRDefault="00F639F0" w:rsidP="00F639F0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3"/>
        <w:gridCol w:w="6493"/>
      </w:tblGrid>
      <w:tr w:rsidR="004D4F8C" w:rsidRPr="00A4469C" w:rsidTr="009D4BEB">
        <w:trPr>
          <w:trHeight w:val="162"/>
          <w:jc w:val="center"/>
        </w:trPr>
        <w:tc>
          <w:tcPr>
            <w:tcW w:w="451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D4F8C" w:rsidRPr="00A4469C" w:rsidRDefault="004D4F8C" w:rsidP="0007710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 Različiti putevi izlaganja</w:t>
            </w:r>
          </w:p>
        </w:tc>
        <w:tc>
          <w:tcPr>
            <w:tcW w:w="649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D4F8C" w:rsidRPr="00A4469C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60653" w:rsidRPr="00A4469C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60653" w:rsidRPr="00F639F0" w:rsidRDefault="00660653" w:rsidP="00A93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                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60653" w:rsidRPr="00F639F0" w:rsidRDefault="004B4D4C" w:rsidP="00A72F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Izaziva privremeno crvenilo kože, privremeni svrab</w:t>
            </w:r>
            <w:r w:rsidR="00F639F0" w:rsidRPr="00F639F0">
              <w:rPr>
                <w:rFonts w:ascii="Times New Roman" w:hAnsi="Times New Roman" w:cs="Times New Roman"/>
              </w:rPr>
              <w:t xml:space="preserve"> kod čoveka</w:t>
            </w:r>
            <w:r w:rsidRPr="00F639F0">
              <w:rPr>
                <w:rFonts w:ascii="Times New Roman" w:hAnsi="Times New Roman" w:cs="Times New Roman"/>
              </w:rPr>
              <w:t>.</w:t>
            </w:r>
          </w:p>
          <w:p w:rsidR="004B4D4C" w:rsidRPr="00F639F0" w:rsidRDefault="004B4D4C" w:rsidP="004B4D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Ne izaziva iritaciju kože kod zeca, OECD smernica za ispitivanje 404.</w:t>
            </w:r>
          </w:p>
        </w:tc>
      </w:tr>
      <w:tr w:rsidR="001527B0" w:rsidRPr="00A4469C" w:rsidTr="009D4BEB">
        <w:trPr>
          <w:trHeight w:val="2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A93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 xml:space="preserve">Oči:                                                               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F639F0" w:rsidRDefault="0022204F" w:rsidP="002220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Izaziva umerenu iritaciju oka (zec, OECD smernica za ispitivanje 405)</w:t>
            </w:r>
          </w:p>
        </w:tc>
      </w:tr>
      <w:tr w:rsidR="001527B0" w:rsidRPr="006E68A5" w:rsidTr="009D4BEB">
        <w:trPr>
          <w:trHeight w:val="495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Disajni putevi: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F639F0" w:rsidRDefault="004B4D4C" w:rsidP="004B4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39F0">
              <w:rPr>
                <w:rFonts w:ascii="Times New Roman" w:hAnsi="Times New Roman" w:cs="Times New Roman"/>
              </w:rPr>
              <w:t>Može izazvati iritaciju respiratornog trakta</w:t>
            </w:r>
            <w:r w:rsidR="00F639F0" w:rsidRPr="00F639F0">
              <w:rPr>
                <w:rFonts w:ascii="Times New Roman" w:hAnsi="Times New Roman" w:cs="Times New Roman"/>
              </w:rPr>
              <w:t xml:space="preserve"> kod čoveka</w:t>
            </w:r>
            <w:r w:rsidRPr="00F639F0">
              <w:rPr>
                <w:rFonts w:ascii="Times New Roman" w:hAnsi="Times New Roman" w:cs="Times New Roman"/>
              </w:rPr>
              <w:t>.</w:t>
            </w:r>
          </w:p>
        </w:tc>
      </w:tr>
      <w:tr w:rsidR="001527B0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b) Iritativnost: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F639F0" w:rsidRDefault="00F639F0" w:rsidP="00F639F0">
            <w:pPr>
              <w:spacing w:after="0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Ne izaziva iritaciju kože kod zeca. Izaziva umerenu iritaciju oka. Može izazvati iritaciju respiratornog trakta kod čoveka.</w:t>
            </w:r>
          </w:p>
        </w:tc>
      </w:tr>
      <w:tr w:rsidR="001527B0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c) Korozivnost: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F639F0" w:rsidRDefault="001527B0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527B0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d) Senzibilizacija: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F639F0" w:rsidRDefault="0022204F" w:rsidP="004B4D4C">
            <w:pPr>
              <w:spacing w:after="0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Nije izazvao senzibilizaciju kod lab</w:t>
            </w:r>
            <w:r w:rsidR="004B4D4C" w:rsidRPr="00F639F0">
              <w:rPr>
                <w:rFonts w:ascii="Times New Roman" w:hAnsi="Times New Roman" w:cs="Times New Roman"/>
              </w:rPr>
              <w:t xml:space="preserve">oratorijskih životinja. (zamorac, Maksimizacioni test, OECD smernica za ispitivanje 406) </w:t>
            </w:r>
          </w:p>
        </w:tc>
      </w:tr>
      <w:tr w:rsidR="001527B0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e)Toksičnost ponovljenih doza: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B4D4C" w:rsidRPr="00F639F0" w:rsidRDefault="004B4D4C" w:rsidP="004B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NOAEL: 50 mg/kg/dan  (Oralno, pacov)</w:t>
            </w:r>
          </w:p>
          <w:p w:rsidR="004B4D4C" w:rsidRPr="00F639F0" w:rsidRDefault="004B4D4C" w:rsidP="004B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Subakutna toksikološka studija (28 dana)</w:t>
            </w:r>
          </w:p>
          <w:p w:rsidR="001527B0" w:rsidRPr="00F639F0" w:rsidRDefault="004B4D4C" w:rsidP="004B4D4C">
            <w:pPr>
              <w:spacing w:after="0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(OECD smernica za ispitivanje 407)</w:t>
            </w:r>
          </w:p>
        </w:tc>
      </w:tr>
      <w:tr w:rsidR="001527B0" w:rsidRPr="002A62CE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f) Karcinogenost: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F639F0" w:rsidRDefault="004B4D4C" w:rsidP="004B4D4C">
            <w:pPr>
              <w:spacing w:after="0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Nije pokazao karcinogeni efekat pri eksperimentima na životinjama (miš).</w:t>
            </w:r>
          </w:p>
        </w:tc>
      </w:tr>
      <w:tr w:rsidR="001527B0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F639F0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g) Mutagenost:</w:t>
            </w:r>
          </w:p>
          <w:p w:rsidR="001527B0" w:rsidRPr="00F639F0" w:rsidRDefault="001527B0" w:rsidP="004B4D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i/>
              </w:rPr>
              <w:t>genotoksičnost in vitro</w:t>
            </w:r>
            <w:r w:rsidRPr="00F639F0">
              <w:rPr>
                <w:rFonts w:ascii="Times New Roman" w:hAnsi="Times New Roman" w:cs="Times New Roman"/>
                <w:i/>
                <w:lang w:val="de-DE"/>
              </w:rPr>
              <w:t>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F639F0" w:rsidRDefault="001527B0" w:rsidP="0060616E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527B0" w:rsidRPr="00F639F0" w:rsidRDefault="001527B0" w:rsidP="0060616E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Nije mutagen, nije genotoksičan (različiti test sistemi)</w:t>
            </w:r>
          </w:p>
        </w:tc>
      </w:tr>
      <w:tr w:rsidR="004B4D4C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B4D4C" w:rsidRPr="00F639F0" w:rsidRDefault="004B4D4C" w:rsidP="004B4D4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i/>
              </w:rPr>
              <w:t>genotoksičnost in vivo: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B4D4C" w:rsidRPr="00F639F0" w:rsidRDefault="004B4D4C" w:rsidP="004B4D4C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Nije genotoksičan (različiti test sistemi)</w:t>
            </w:r>
          </w:p>
        </w:tc>
      </w:tr>
      <w:tr w:rsidR="001527B0" w:rsidRPr="002A62CE" w:rsidTr="009D4BE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27B0" w:rsidRPr="00F639F0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639F0">
              <w:rPr>
                <w:rFonts w:ascii="Times New Roman" w:hAnsi="Times New Roman" w:cs="Times New Roman"/>
                <w:b/>
                <w:i/>
              </w:rPr>
              <w:t>h) Toksičnost po reprodukciju: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7B0" w:rsidRPr="00F639F0" w:rsidRDefault="00F639F0" w:rsidP="00F639F0">
            <w:pPr>
              <w:spacing w:after="0"/>
              <w:rPr>
                <w:rFonts w:ascii="Times New Roman" w:hAnsi="Times New Roman" w:cs="Times New Roman"/>
              </w:rPr>
            </w:pPr>
            <w:r w:rsidRPr="00F639F0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527B0" w:rsidRPr="00A4469C" w:rsidTr="00F639F0">
        <w:trPr>
          <w:trHeight w:val="8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527B0" w:rsidRPr="00F639F0" w:rsidRDefault="001527B0" w:rsidP="00F63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F639F0">
              <w:rPr>
                <w:rFonts w:ascii="Times New Roman" w:hAnsi="Times New Roman" w:cs="Times New Roman"/>
                <w:i/>
              </w:rPr>
              <w:t xml:space="preserve">RDA(preporučeni dozvoljeni dnevni unos), </w:t>
            </w:r>
            <w:r w:rsidR="004B4D4C" w:rsidRPr="00F639F0">
              <w:rPr>
                <w:rFonts w:ascii="Times New Roman" w:hAnsi="Times New Roman" w:cs="Times New Roman"/>
              </w:rPr>
              <w:t>13 - 20 mg</w:t>
            </w:r>
          </w:p>
        </w:tc>
      </w:tr>
      <w:tr w:rsidR="001527B0" w:rsidRPr="002A62CE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7B0" w:rsidRPr="002A62CE" w:rsidRDefault="001527B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1527B0" w:rsidRPr="002A62CE" w:rsidTr="009D4BEB">
        <w:trPr>
          <w:trHeight w:val="70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2A62CE" w:rsidRDefault="001527B0" w:rsidP="003F62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7B0" w:rsidRPr="002A62CE" w:rsidRDefault="001527B0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60653" w:rsidRPr="006812B4" w:rsidTr="009D4BEB">
        <w:trPr>
          <w:trHeight w:val="2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60653" w:rsidRPr="00E82F6B" w:rsidRDefault="00660653" w:rsidP="00A27C5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E82F6B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60653" w:rsidRPr="00E82F6B" w:rsidRDefault="00660653" w:rsidP="00A27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bookmarkStart w:id="0" w:name="_GoBack"/>
            <w:bookmarkEnd w:id="0"/>
          </w:p>
        </w:tc>
      </w:tr>
      <w:tr w:rsidR="00E82F6B" w:rsidRPr="0016517B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82F6B" w:rsidRPr="00E82F6B" w:rsidRDefault="00E82F6B" w:rsidP="00E82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E82F6B">
              <w:rPr>
                <w:rFonts w:ascii="Times New Roman" w:hAnsi="Times New Roman" w:cs="Times New Roman"/>
              </w:rPr>
              <w:t>Toksičnost za ribe: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82F6B" w:rsidRPr="00E82F6B" w:rsidRDefault="00E82F6B" w:rsidP="000E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F6B">
              <w:rPr>
                <w:rFonts w:ascii="Times New Roman" w:hAnsi="Times New Roman" w:cs="Times New Roman"/>
              </w:rPr>
              <w:t>Oncorhynchus mykiss (dužičasta pastrmka)</w:t>
            </w:r>
          </w:p>
          <w:p w:rsidR="00E82F6B" w:rsidRPr="00E82F6B" w:rsidRDefault="00E82F6B" w:rsidP="00E8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E82F6B">
              <w:rPr>
                <w:rFonts w:ascii="Times New Roman" w:hAnsi="Times New Roman" w:cs="Times New Roman"/>
              </w:rPr>
              <w:t>LC50 (96 h) 520 mg/l (OECD smernica za ispitivanje 203)</w:t>
            </w:r>
          </w:p>
        </w:tc>
      </w:tr>
      <w:tr w:rsidR="00E82F6B" w:rsidRPr="0016517B" w:rsidTr="009D4BEB">
        <w:trPr>
          <w:trHeight w:val="558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82F6B" w:rsidRPr="00E82F6B" w:rsidRDefault="00E82F6B" w:rsidP="00E8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F6B">
              <w:rPr>
                <w:rFonts w:ascii="Times New Roman" w:hAnsi="Times New Roman" w:cs="Times New Roman"/>
              </w:rPr>
              <w:t>Toksičnost za dafnije i ostale vodene beskičmenjake: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82F6B" w:rsidRPr="00E82F6B" w:rsidRDefault="00E82F6B" w:rsidP="000E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F6B">
              <w:rPr>
                <w:rFonts w:ascii="Times New Roman" w:hAnsi="Times New Roman" w:cs="Times New Roman"/>
              </w:rPr>
              <w:t>Daphnia magna (dafnije)</w:t>
            </w:r>
          </w:p>
          <w:p w:rsidR="00E82F6B" w:rsidRPr="00E82F6B" w:rsidRDefault="00E82F6B" w:rsidP="00E8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F6B">
              <w:rPr>
                <w:rFonts w:ascii="Times New Roman" w:hAnsi="Times New Roman" w:cs="Times New Roman"/>
              </w:rPr>
              <w:t>EC50 (48 h) 77 mg/l (OECD smernica za ispitivanje 202)</w:t>
            </w:r>
          </w:p>
        </w:tc>
      </w:tr>
      <w:tr w:rsidR="00E82F6B" w:rsidRPr="0016426A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82F6B" w:rsidRPr="00E82F6B" w:rsidRDefault="00E82F6B" w:rsidP="000E0E1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E82F6B">
              <w:rPr>
                <w:rFonts w:ascii="Times New Roman" w:hAnsi="Times New Roman" w:cs="Times New Roman"/>
                <w:lang w:val="de-DE"/>
              </w:rPr>
              <w:t>Toksičnost za alge: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82F6B" w:rsidRPr="00E82F6B" w:rsidRDefault="00E82F6B" w:rsidP="000E0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F6B">
              <w:rPr>
                <w:rFonts w:ascii="Times New Roman" w:hAnsi="Times New Roman" w:cs="Times New Roman"/>
              </w:rPr>
              <w:t>Desmodesmus subspicatus (zelene alge)</w:t>
            </w:r>
          </w:p>
          <w:p w:rsidR="00E82F6B" w:rsidRPr="00E82F6B" w:rsidRDefault="00E82F6B" w:rsidP="006762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F6B">
              <w:rPr>
                <w:rFonts w:ascii="Times New Roman" w:hAnsi="Times New Roman" w:cs="Times New Roman"/>
              </w:rPr>
              <w:t>EbC50 (72 h) 90 mg/l</w:t>
            </w:r>
            <w:r w:rsidR="0067625B">
              <w:rPr>
                <w:rFonts w:ascii="Times New Roman" w:hAnsi="Times New Roman" w:cs="Times New Roman"/>
              </w:rPr>
              <w:t xml:space="preserve"> </w:t>
            </w:r>
            <w:r w:rsidRPr="00E82F6B">
              <w:rPr>
                <w:rFonts w:ascii="Times New Roman" w:hAnsi="Times New Roman" w:cs="Times New Roman"/>
              </w:rPr>
              <w:t>(OECD smernica za ispitivanje 201)</w:t>
            </w:r>
          </w:p>
        </w:tc>
      </w:tr>
      <w:tr w:rsidR="001527B0" w:rsidRPr="00A4469C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527B0" w:rsidRPr="00E82F6B" w:rsidRDefault="001527B0" w:rsidP="004534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E82F6B">
              <w:rPr>
                <w:rFonts w:ascii="Times New Roman" w:hAnsi="Times New Roman" w:cs="Times New Roman"/>
                <w:i/>
                <w:lang w:val="de-DE"/>
              </w:rPr>
              <w:t>Toksičnost za bakterije: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527B0" w:rsidRPr="00E82F6B" w:rsidRDefault="00E82F6B" w:rsidP="004534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F6B">
              <w:rPr>
                <w:rFonts w:ascii="Times New Roman" w:hAnsi="Times New Roman" w:cs="Times New Roman"/>
              </w:rPr>
              <w:t>Pseudomonas putida</w:t>
            </w:r>
          </w:p>
          <w:p w:rsidR="00E82F6B" w:rsidRPr="00E82F6B" w:rsidRDefault="00E82F6B" w:rsidP="004534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F6B">
              <w:rPr>
                <w:rFonts w:ascii="Times New Roman" w:hAnsi="Times New Roman" w:cs="Times New Roman"/>
              </w:rPr>
              <w:t>IC50 120 mg/l (DIN 38412)</w:t>
            </w:r>
          </w:p>
        </w:tc>
      </w:tr>
      <w:tr w:rsidR="00660653" w:rsidRPr="00A4469C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60653" w:rsidRPr="00E82F6B" w:rsidRDefault="00660653" w:rsidP="00A27C5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E82F6B">
              <w:rPr>
                <w:rFonts w:ascii="Times New Roman" w:hAnsi="Times New Roman" w:cs="Times New Roman"/>
                <w:i/>
              </w:rPr>
              <w:t>- Za organizme u zemljištu: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60653" w:rsidRPr="00E82F6B" w:rsidRDefault="00660653" w:rsidP="00A27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E82F6B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60653" w:rsidRPr="00A4469C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60653" w:rsidRPr="00E82F6B" w:rsidRDefault="00660653" w:rsidP="00A27C5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82F6B">
              <w:rPr>
                <w:rFonts w:ascii="Times New Roman" w:hAnsi="Times New Roman" w:cs="Times New Roman"/>
                <w:i/>
                <w:lang w:val="en-GB"/>
              </w:rPr>
              <w:t>- Za biljke i kopnene životinje: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60653" w:rsidRPr="00E82F6B" w:rsidRDefault="00660653" w:rsidP="00A27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2F6B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60653" w:rsidRPr="002A62CE" w:rsidTr="009D4BEB">
        <w:trPr>
          <w:trHeight w:val="368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12.2. Perzistentnost i razgradljivost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60653" w:rsidRPr="002A62CE" w:rsidRDefault="0067625B" w:rsidP="00676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Stabilnost u vodi: Stabilno (pH 6, 7)</w:t>
            </w:r>
          </w:p>
        </w:tc>
      </w:tr>
      <w:tr w:rsidR="00660653" w:rsidRPr="002A62CE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60653" w:rsidRPr="002A62CE" w:rsidRDefault="00660653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Biorazgradnja: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527B0" w:rsidRDefault="0067625B" w:rsidP="001527B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</w:t>
            </w:r>
            <w:r w:rsidR="001527B0">
              <w:rPr>
                <w:rFonts w:ascii="Times-New-Roman" w:hAnsi="Times-New-Roman" w:cs="Times-New-Roman"/>
              </w:rPr>
              <w:t>dmah biorazgradljiv.</w:t>
            </w:r>
          </w:p>
          <w:p w:rsidR="001527B0" w:rsidRDefault="0067625B" w:rsidP="001527B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100</w:t>
            </w:r>
            <w:r w:rsidR="001527B0">
              <w:rPr>
                <w:rFonts w:ascii="Times-New-Roman" w:hAnsi="Times-New-Roman" w:cs="Times-New-Roman"/>
              </w:rPr>
              <w:t>% (</w:t>
            </w:r>
            <w:r>
              <w:rPr>
                <w:rFonts w:ascii="Times-New-Roman" w:hAnsi="Times-New-Roman" w:cs="Times-New-Roman"/>
              </w:rPr>
              <w:t>14</w:t>
            </w:r>
            <w:r w:rsidR="001527B0">
              <w:rPr>
                <w:rFonts w:ascii="Times-New-Roman" w:hAnsi="Times-New-Roman" w:cs="Times-New-Roman"/>
              </w:rPr>
              <w:t>d)</w:t>
            </w:r>
          </w:p>
          <w:p w:rsidR="00660653" w:rsidRPr="002A62CE" w:rsidRDefault="001527B0" w:rsidP="006762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(OECD smernica za ispitivanje 301</w:t>
            </w:r>
            <w:r w:rsidR="0067625B">
              <w:rPr>
                <w:rFonts w:ascii="Times-New-Roman" w:hAnsi="Times-New-Roman" w:cs="Times-New-Roman"/>
              </w:rPr>
              <w:t>E</w:t>
            </w:r>
            <w:r>
              <w:rPr>
                <w:rFonts w:ascii="Times-New-Roman" w:hAnsi="Times-New-Roman" w:cs="Times-New-Roman"/>
              </w:rPr>
              <w:t>)</w:t>
            </w:r>
          </w:p>
        </w:tc>
      </w:tr>
      <w:tr w:rsidR="00660653" w:rsidRPr="002A62CE" w:rsidTr="009D4BEB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60653" w:rsidRPr="002A62CE" w:rsidRDefault="00660653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Drugi procesi razgradnje: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60653" w:rsidRPr="002A62CE" w:rsidRDefault="00660653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660653" w:rsidRPr="002A62CE" w:rsidTr="009D4BEB">
        <w:trPr>
          <w:trHeight w:val="20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60653" w:rsidRPr="002A62CE" w:rsidRDefault="00660653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Razgradnja u otpadnim vodama: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60653" w:rsidRPr="002A62CE" w:rsidRDefault="00660653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</w:tbl>
    <w:p w:rsidR="009D4BEB" w:rsidRPr="002C21D4" w:rsidRDefault="009D4BEB" w:rsidP="009D4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D4BEB" w:rsidRPr="002A62CE" w:rsidRDefault="009D4BEB" w:rsidP="009D4BEB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9D4BEB" w:rsidRDefault="009D4BEB" w:rsidP="009D4BEB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7/10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330"/>
        <w:gridCol w:w="2893"/>
      </w:tblGrid>
      <w:tr w:rsidR="00660653" w:rsidRPr="002A62CE" w:rsidTr="009D4BEB">
        <w:trPr>
          <w:trHeight w:val="465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lastRenderedPageBreak/>
              <w:t>12.3. Potencijal bioakumulacije</w:t>
            </w:r>
          </w:p>
        </w:tc>
        <w:tc>
          <w:tcPr>
            <w:tcW w:w="622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0653" w:rsidRPr="002A62CE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- Faktor biokoncentracije 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660653" w:rsidRPr="002A62CE" w:rsidTr="009D4BEB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12.4. Mobilnost u zemljištu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Metoda:</w:t>
            </w:r>
          </w:p>
        </w:tc>
      </w:tr>
      <w:tr w:rsidR="00660653" w:rsidRPr="002A62CE" w:rsidTr="009D4BEB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60653" w:rsidRPr="002A62CE" w:rsidRDefault="0066065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</w:rPr>
              <w:t xml:space="preserve">- </w:t>
            </w:r>
            <w:r w:rsidRPr="002A62CE">
              <w:rPr>
                <w:rFonts w:ascii="Times New Roman" w:hAnsi="Times New Roman" w:cs="Times New Roman"/>
                <w:i/>
              </w:rPr>
              <w:t>Poznata ili predviđena raspodela po segmentima okoline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60653" w:rsidRPr="002A62CE" w:rsidRDefault="00660653" w:rsidP="0021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77104" w:rsidRPr="002A62CE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77104" w:rsidRPr="002A62CE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BA4B47" w:rsidP="00922B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77104" w:rsidRPr="002A62CE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77104" w:rsidRPr="005B50EC" w:rsidRDefault="00077104" w:rsidP="005B50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5B50EC">
              <w:rPr>
                <w:rFonts w:ascii="Times New Roman" w:hAnsi="Times New Roman" w:cs="Times New Roman"/>
                <w:i/>
                <w:lang w:val="de-DE"/>
              </w:rPr>
              <w:t xml:space="preserve">- Druga fizičko-hemijska svojstva </w:t>
            </w:r>
            <w:r w:rsidRPr="005B50EC">
              <w:rPr>
                <w:rFonts w:ascii="Times New Roman" w:hAnsi="Times New Roman" w:cs="Times New Roman"/>
                <w:lang w:val="de-DE"/>
              </w:rPr>
              <w:t xml:space="preserve">  (</w:t>
            </w:r>
            <w:r w:rsidRPr="005B50EC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77104" w:rsidRPr="005B50EC" w:rsidRDefault="00BA4B47" w:rsidP="005B50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5B50EC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077104" w:rsidRPr="002A62CE" w:rsidTr="009D4BEB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12.5. Rezultati PBT  i vPvB procene: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77104" w:rsidRPr="002A62CE" w:rsidRDefault="00077104" w:rsidP="001F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77104" w:rsidRPr="002A62CE" w:rsidTr="009D4BEB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- Podaci iz izveštaja o hemijskoj sigurnosti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77104" w:rsidRPr="002A62CE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Ostali podaci: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77104" w:rsidRPr="002A62CE" w:rsidRDefault="00077104" w:rsidP="005B50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77104" w:rsidRPr="002A62CE" w:rsidTr="009D4BE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D62E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</w:rPr>
              <w:t>12.6. Ostali štetni efekti: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077104" w:rsidP="005B50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7104" w:rsidRPr="002A62CE" w:rsidTr="009D4BEB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Sudbina u životnoj sredini(izloženost):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077104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77104" w:rsidRPr="002A62CE" w:rsidTr="009D4BEB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stvaranja fotohemijskog ozona: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77104" w:rsidRPr="002A62CE" w:rsidTr="009D4BEB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oštećenja ozona: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2A62CE" w:rsidRDefault="00077104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0616E" w:rsidRPr="002A62CE" w:rsidTr="009D4BEB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0616E" w:rsidRPr="002A62CE" w:rsidRDefault="0060616E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poremećaja endokrinog sistema: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0616E" w:rsidRPr="002A62CE" w:rsidRDefault="0060616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0616E" w:rsidRPr="002A62CE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0616E" w:rsidRPr="002A62CE" w:rsidRDefault="0060616E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za globalno zagrevanje: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0616E" w:rsidRPr="002A62CE" w:rsidRDefault="0060616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0616E" w:rsidRPr="002A62CE" w:rsidTr="009D4BEB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0616E" w:rsidRPr="002A62CE" w:rsidRDefault="0060616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60616E" w:rsidRPr="002A62CE" w:rsidTr="009D4BE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0616E" w:rsidRPr="002A62CE" w:rsidRDefault="0060616E" w:rsidP="005B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13.1. Metode tretmana otpada: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0616E" w:rsidRPr="002A62CE" w:rsidRDefault="0060616E" w:rsidP="005B50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7104" w:rsidRPr="002A62CE" w:rsidTr="009D4BEB">
        <w:trPr>
          <w:trHeight w:val="45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373420" w:rsidRDefault="00077104" w:rsidP="003734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3420">
              <w:rPr>
                <w:rFonts w:ascii="Times New Roman" w:hAnsi="Times New Roman" w:cs="Times New Roman"/>
                <w:i/>
              </w:rPr>
              <w:t>Ostaci od proizvoda: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A4469C" w:rsidRDefault="001527B0" w:rsidP="00C450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Ne kontaminirati ribnjake, vodene tokove ili rovove supstancom ili korišćenim kontejnerom. Ponuditi ostatke i nereciklirajuće rastvore licenciranim firmama koje se bave odlaganjem otpada. </w:t>
            </w:r>
            <w:r w:rsidR="00660653" w:rsidRPr="000F719A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="00660653"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="00660653">
              <w:rPr>
                <w:rFonts w:ascii="Times-New-Roman" w:hAnsi="Times-New-Roman" w:cs="Times-New-Roman"/>
              </w:rPr>
              <w:t>.</w:t>
            </w:r>
          </w:p>
        </w:tc>
      </w:tr>
      <w:tr w:rsidR="00077104" w:rsidRPr="002A62CE" w:rsidTr="009D4BEB">
        <w:trPr>
          <w:trHeight w:val="2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77104" w:rsidRPr="00373420" w:rsidRDefault="00077104" w:rsidP="003734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73420">
              <w:rPr>
                <w:rFonts w:ascii="Times New Roman" w:hAnsi="Times New Roman" w:cs="Times New Roman"/>
                <w:i/>
              </w:rPr>
              <w:t>Zagađena ambalaža</w:t>
            </w:r>
            <w:r w:rsidRPr="003734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A4469C" w:rsidRDefault="001527B0" w:rsidP="00C450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  <w:r w:rsidR="00077104" w:rsidRPr="00AE7A75">
              <w:rPr>
                <w:rFonts w:ascii="Times New Roman" w:hAnsi="Times New Roman" w:cs="Times New Roman"/>
                <w:lang w:val="sr-Latn-RS"/>
              </w:rPr>
              <w:t>Sa ambalažom postupiti u skladu sa Zakonom o ambalaži i ambalažnom otpadu („Sl.glasnik RS“, br.36/09).</w:t>
            </w:r>
          </w:p>
        </w:tc>
      </w:tr>
      <w:tr w:rsidR="0060616E" w:rsidRPr="002A62CE" w:rsidTr="009D4BEB">
        <w:trPr>
          <w:trHeight w:val="15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0616E" w:rsidRPr="002A62CE" w:rsidRDefault="0060616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Važeći propisi: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0616E" w:rsidRPr="002A62CE" w:rsidRDefault="0060616E" w:rsidP="00B55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Gore pomenuti propisi.</w:t>
            </w:r>
          </w:p>
        </w:tc>
      </w:tr>
      <w:tr w:rsidR="00922B54" w:rsidRPr="0045717F" w:rsidTr="002A4D55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22B54" w:rsidRPr="00922B54" w:rsidRDefault="00922B54" w:rsidP="00B3186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D4F8C" w:rsidRPr="00A45A6E" w:rsidTr="00C43863">
        <w:trPr>
          <w:trHeight w:val="467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45A6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regulati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D4F8C" w:rsidRPr="00A8762E" w:rsidTr="009D4BEB">
        <w:trPr>
          <w:trHeight w:val="313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8762E">
              <w:rPr>
                <w:rFonts w:ascii="Times New Roman" w:hAnsi="Times New Roman" w:cs="Times New Roman"/>
                <w:b/>
                <w:i/>
                <w:lang w:val="de-DE"/>
              </w:rPr>
              <w:t>Drumski prevoz (ADR)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4D4F8C" w:rsidRPr="00A8762E" w:rsidTr="009D4BEB">
        <w:trPr>
          <w:trHeight w:val="31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4D4F8C" w:rsidRPr="00A8762E" w:rsidTr="009D4BEB">
        <w:trPr>
          <w:trHeight w:val="313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i/>
              </w:rPr>
              <w:t>Železnički prevoz (RID)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D4F8C" w:rsidRPr="00A8762E" w:rsidTr="009D4BEB">
        <w:trPr>
          <w:trHeight w:val="31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4D4F8C" w:rsidRPr="00A8762E" w:rsidTr="009D4BEB">
        <w:trPr>
          <w:trHeight w:val="313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bCs/>
                <w:i/>
              </w:rPr>
              <w:t>Vodeni putevi u zemlji (ADN):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D4F8C" w:rsidRPr="00A8762E" w:rsidTr="009D4BEB">
        <w:trPr>
          <w:trHeight w:val="31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3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289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4D4F8C" w:rsidRPr="00A8762E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</w:tbl>
    <w:p w:rsidR="009D4BEB" w:rsidRPr="002C21D4" w:rsidRDefault="009D4BEB" w:rsidP="009D4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D4BEB" w:rsidRPr="002A62CE" w:rsidRDefault="009D4BEB" w:rsidP="009D4BEB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9D4BEB" w:rsidRDefault="009D4BEB" w:rsidP="009D4BEB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8/10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059"/>
        <w:gridCol w:w="271"/>
        <w:gridCol w:w="2893"/>
      </w:tblGrid>
      <w:tr w:rsidR="004D4F8C" w:rsidRPr="00AC6A9F" w:rsidTr="009D4BEB">
        <w:trPr>
          <w:trHeight w:val="313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Avionski prevoz (ICAO/IATA):</w:t>
            </w:r>
          </w:p>
        </w:tc>
        <w:tc>
          <w:tcPr>
            <w:tcW w:w="333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C6A9F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89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D4F8C" w:rsidRPr="00AC6A9F" w:rsidTr="009D4BEB">
        <w:trPr>
          <w:trHeight w:val="31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C6A9F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C6A9F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</w:rPr>
              <w:t>14.1. UN broj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14.2. UN naziv za teret u transportu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14.3. Klasa opasnosti u transportu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14.4. Ambalažna grupa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14.5. Opasnost po životnu sredinu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14.6. Posebne predostrožnosti za korisnika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14.7. Transport u rasutom stanju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D4F8C" w:rsidRPr="00AC6A9F" w:rsidTr="009D4BEB">
        <w:trPr>
          <w:trHeight w:val="332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- Dodatni propisi: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D4F8C" w:rsidRPr="00AC6A9F" w:rsidTr="009D4BEB">
        <w:trPr>
          <w:trHeight w:val="9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Naziv opasne hemikalije prema međunarodnim propisima o transportu opasnih tereta: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4F8C" w:rsidRPr="00AC6A9F" w:rsidRDefault="004D4F8C" w:rsidP="00C43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5D786C">
        <w:trPr>
          <w:trHeight w:val="51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AC6A9F" w:rsidTr="009D4BEB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C6A9F" w:rsidRPr="00BC3B60" w:rsidRDefault="00AC6A9F" w:rsidP="00BC3B6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lang w:val="de-DE"/>
              </w:rPr>
            </w:pPr>
            <w:r w:rsidRPr="00BC3B60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C6A9F" w:rsidRPr="00BC3B60" w:rsidRDefault="009635AA" w:rsidP="00BC3B6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3B60">
              <w:rPr>
                <w:rFonts w:ascii="Times New Roman" w:hAnsi="Times New Roman" w:cs="Times New Roman"/>
              </w:rPr>
              <w:t xml:space="preserve">Zakon o hemikalijama </w:t>
            </w:r>
            <w:r w:rsidRPr="00BC3B60">
              <w:rPr>
                <w:rFonts w:ascii="Times New Roman" w:hAnsi="Times New Roman" w:cs="Times New Roman"/>
                <w:iCs/>
              </w:rPr>
              <w:t>(</w:t>
            </w:r>
            <w:r w:rsidRPr="00BC3B60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BC3B60">
              <w:rPr>
                <w:rFonts w:ascii="Times New Roman" w:hAnsi="Times New Roman" w:cs="Times New Roman"/>
                <w:iCs/>
              </w:rPr>
              <w:t>Sl. glasnik RS</w:t>
            </w:r>
            <w:r w:rsidRPr="00BC3B60"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BC3B60">
              <w:rPr>
                <w:rFonts w:ascii="Times New Roman" w:hAnsi="Times New Roman" w:cs="Times New Roman"/>
                <w:iCs/>
              </w:rPr>
              <w:t>, br. 36/2009, 88/2010, 92/2011 i 93/2012).</w:t>
            </w:r>
            <w:r w:rsidR="00373420" w:rsidRPr="00BC3B60">
              <w:rPr>
                <w:rFonts w:ascii="Times New Roman" w:hAnsi="Times New Roman" w:cs="Times New Roman"/>
              </w:rPr>
              <w:t xml:space="preserve"> Zakon o upravljanju otpadom (</w:t>
            </w:r>
            <w:r w:rsidR="00373420" w:rsidRPr="00BC3B60">
              <w:rPr>
                <w:rFonts w:ascii="Times New Roman" w:hAnsi="Times New Roman" w:cs="Times New Roman"/>
                <w:lang w:val="sr-Latn-RS"/>
              </w:rPr>
              <w:t>„Sl.glasnik RS“, br.36/09 i 88/10</w:t>
            </w:r>
            <w:r w:rsidR="00373420" w:rsidRPr="00BC3B60">
              <w:rPr>
                <w:rFonts w:ascii="Times New Roman" w:hAnsi="Times New Roman" w:cs="Times New Roman"/>
              </w:rPr>
              <w:t xml:space="preserve">. </w:t>
            </w:r>
            <w:r w:rsidR="00373420" w:rsidRPr="00BC3B60">
              <w:rPr>
                <w:rFonts w:ascii="Times New Roman" w:hAnsi="Times New Roman" w:cs="Times New Roman"/>
                <w:lang w:val="sr-Latn-RS"/>
              </w:rPr>
              <w:t>Zakon o ambalaži i ambalažnom otpadu („Sl.glasnik RS“, br.36/09)</w:t>
            </w:r>
            <w:r w:rsidR="00373420" w:rsidRPr="00BC3B60">
              <w:rPr>
                <w:rFonts w:ascii="Times New Roman" w:hAnsi="Times New Roman" w:cs="Times New Roman"/>
              </w:rPr>
              <w:t>.</w:t>
            </w:r>
          </w:p>
        </w:tc>
      </w:tr>
      <w:tr w:rsidR="006A7CCC" w:rsidTr="009D4BE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15.2. Sprovedena procena bezbednosti za smešu: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204B5C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73420" w:rsidRPr="00373420" w:rsidRDefault="00204B5C" w:rsidP="00BC7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4B5C" w:rsidRDefault="00204B5C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030FE2" w:rsidRPr="00BC01BC" w:rsidRDefault="00030FE2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73420" w:rsidRPr="00AC6A9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73420" w:rsidRDefault="00373420" w:rsidP="006217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  <w:p w:rsidR="00077104" w:rsidRPr="00AC6A9F" w:rsidRDefault="001527B0" w:rsidP="006762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E2499">
              <w:rPr>
                <w:rFonts w:ascii="Times New Roman" w:hAnsi="Times New Roman" w:cs="Times New Roman"/>
                <w:b/>
                <w:bCs/>
              </w:rPr>
              <w:t xml:space="preserve">Obeležavanje prema </w:t>
            </w:r>
            <w:r w:rsidR="0067625B">
              <w:rPr>
                <w:rFonts w:ascii="Times New Roman" w:hAnsi="Times New Roman" w:cs="Times New Roman"/>
                <w:b/>
                <w:bCs/>
              </w:rPr>
              <w:t>CLP/GHS</w:t>
            </w:r>
            <w:r w:rsidR="00660653" w:rsidRPr="00CE24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77104" w:rsidRPr="001527B0" w:rsidRDefault="00077104" w:rsidP="000771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:rsidR="00373420" w:rsidRPr="001527B0" w:rsidRDefault="00373420" w:rsidP="00660653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7625B" w:rsidRPr="00AC6A9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625B" w:rsidRPr="00AC6A9F" w:rsidRDefault="0067625B" w:rsidP="0067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6782">
              <w:rPr>
                <w:rFonts w:ascii="Times New Roman" w:hAnsi="Times New Roman" w:cs="Times New Roman"/>
                <w:bCs/>
                <w:i/>
                <w:color w:val="000000"/>
              </w:rPr>
              <w:t>Znak opasnosti: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625B" w:rsidRPr="001527B0" w:rsidRDefault="0067625B" w:rsidP="000771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FA65F7C" wp14:editId="2CAA097E">
                  <wp:extent cx="76200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25B" w:rsidRPr="00AC6A9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7625B" w:rsidRPr="008B773F" w:rsidRDefault="0067625B" w:rsidP="0067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B773F">
              <w:rPr>
                <w:rFonts w:ascii="Times New Roman" w:hAnsi="Times New Roman" w:cs="Times New Roman"/>
                <w:bCs/>
                <w:i/>
                <w:lang w:val="de-DE"/>
              </w:rPr>
              <w:t>Reč upozorenja: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Pažnja </w:t>
            </w:r>
          </w:p>
        </w:tc>
      </w:tr>
      <w:tr w:rsidR="0067625B" w:rsidRPr="008B773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7625B" w:rsidRPr="008B773F" w:rsidRDefault="0067625B" w:rsidP="006762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8B773F">
              <w:rPr>
                <w:rFonts w:ascii="Times New Roman" w:hAnsi="Times New Roman" w:cs="Times New Roman"/>
                <w:bCs/>
                <w:i/>
                <w:color w:val="000000"/>
              </w:rPr>
              <w:t>Oznake rizika</w:t>
            </w:r>
            <w:r w:rsidRPr="008B77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H319: Dovodi do jake iritacije oka </w:t>
            </w:r>
          </w:p>
        </w:tc>
      </w:tr>
      <w:tr w:rsidR="0067625B" w:rsidRPr="008B773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7625B" w:rsidRDefault="0067625B" w:rsidP="0067625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Obaveštenja o merama predostrožnosti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 prevencija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25B" w:rsidRDefault="0067625B" w:rsidP="0067625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625B" w:rsidRPr="008B773F" w:rsidRDefault="0067625B" w:rsidP="0067625B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62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P264-Oprati ...detaljno nakon rukovanja. </w:t>
            </w:r>
          </w:p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P280-Nositi zaštitne rukavice/ zaštitnu odeću/ zaštitne naočare/ zaštitu za lice. </w:t>
            </w:r>
          </w:p>
        </w:tc>
      </w:tr>
      <w:tr w:rsidR="0067625B" w:rsidRPr="008B773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</w:tcBorders>
          </w:tcPr>
          <w:p w:rsidR="0067625B" w:rsidRPr="008B773F" w:rsidRDefault="0067625B" w:rsidP="0067625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>Obaveštenja o merama predostrožnosti reagovanje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625B" w:rsidRPr="008B773F" w:rsidRDefault="0067625B" w:rsidP="0067625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P305+P351+P338-AKO DOSPE U OČI: Pažljivo ispirati vodom nekoliko minuta. Ukloniti kontaktna sočiva, ukoliko postoje i ukoliko je to moguće učiniti. Nastaviti sa ispiranjem. </w:t>
            </w:r>
          </w:p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773F">
              <w:rPr>
                <w:rFonts w:ascii="Times New Roman" w:hAnsi="Times New Roman" w:cs="Times New Roman"/>
                <w:sz w:val="22"/>
                <w:szCs w:val="22"/>
              </w:rPr>
              <w:t xml:space="preserve">P337+P313-Ako iritacija oka ne prolazi: potražiti medicinski savet/ mišljenje. </w:t>
            </w:r>
          </w:p>
        </w:tc>
      </w:tr>
      <w:tr w:rsidR="0067625B" w:rsidRPr="008B773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</w:tcBorders>
          </w:tcPr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E2499">
              <w:rPr>
                <w:rFonts w:ascii="Times New Roman" w:hAnsi="Times New Roman" w:cs="Times New Roman"/>
                <w:b/>
                <w:bCs/>
              </w:rPr>
              <w:t xml:space="preserve">Obeležavanje prema </w:t>
            </w:r>
            <w:r>
              <w:rPr>
                <w:rFonts w:ascii="Times New Roman" w:hAnsi="Times New Roman" w:cs="Times New Roman"/>
                <w:b/>
                <w:bCs/>
              </w:rPr>
              <w:t>DSD/DPD</w:t>
            </w:r>
            <w:r w:rsidRPr="00CE24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7625B" w:rsidRPr="008B773F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625B" w:rsidRPr="008B773F" w:rsidTr="009D4BE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</w:tcBorders>
          </w:tcPr>
          <w:p w:rsidR="0067625B" w:rsidRPr="0067625B" w:rsidRDefault="0067625B" w:rsidP="0067625B">
            <w:pPr>
              <w:pStyle w:val="Default"/>
              <w:jc w:val="right"/>
              <w:rPr>
                <w:rFonts w:ascii="Times New Roman" w:hAnsi="Times New Roman" w:cs="Times New Roman"/>
                <w:bCs/>
              </w:rPr>
            </w:pPr>
            <w:r w:rsidRPr="0067625B">
              <w:rPr>
                <w:rFonts w:ascii="Times New Roman" w:hAnsi="Times New Roman" w:cs="Times New Roman"/>
                <w:bCs/>
                <w:i/>
              </w:rPr>
              <w:t>Znak opasnosti:</w:t>
            </w:r>
          </w:p>
        </w:tc>
        <w:tc>
          <w:tcPr>
            <w:tcW w:w="6223" w:type="dxa"/>
            <w:gridSpan w:val="3"/>
            <w:tcBorders>
              <w:top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625B" w:rsidRPr="0067625B" w:rsidRDefault="0067625B" w:rsidP="006762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Xi-</w:t>
            </w:r>
            <w:r>
              <w:rPr>
                <w:rFonts w:ascii="Times New Roman" w:hAnsi="Times New Roman" w:cs="Times New Roman"/>
                <w:bCs/>
                <w:lang w:val="en-GB"/>
              </w:rPr>
              <w:t>Iritativno</w:t>
            </w:r>
          </w:p>
        </w:tc>
      </w:tr>
    </w:tbl>
    <w:p w:rsidR="009D4BEB" w:rsidRPr="002C21D4" w:rsidRDefault="009D4BEB" w:rsidP="009D4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D4BEB" w:rsidRPr="002A62CE" w:rsidRDefault="009D4BEB" w:rsidP="009D4BEB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67625B" w:rsidRDefault="009D4BEB" w:rsidP="009D4BEB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9/10</w:t>
      </w:r>
    </w:p>
    <w:p w:rsidR="0067625B" w:rsidRDefault="0067625B"/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763"/>
      </w:tblGrid>
      <w:tr w:rsidR="0067625B" w:rsidRPr="00AC6A9F" w:rsidTr="009D4BEB">
        <w:trPr>
          <w:trHeight w:val="80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625B" w:rsidRPr="0067625B" w:rsidRDefault="0067625B" w:rsidP="0062176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67625B">
              <w:rPr>
                <w:rFonts w:ascii="Times New Roman" w:hAnsi="Times New Roman" w:cs="Times New Roman"/>
                <w:bCs/>
                <w:i/>
              </w:rPr>
              <w:lastRenderedPageBreak/>
              <w:t>Oznake rizika:</w:t>
            </w:r>
          </w:p>
        </w:tc>
        <w:tc>
          <w:tcPr>
            <w:tcW w:w="676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625B" w:rsidRPr="00AC6A9F" w:rsidRDefault="0067625B" w:rsidP="006762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242DA">
              <w:rPr>
                <w:rFonts w:ascii="Times New Roman" w:hAnsi="Times New Roman" w:cs="Times New Roman"/>
              </w:rPr>
              <w:t>R36- Iritativno za oči</w:t>
            </w:r>
          </w:p>
        </w:tc>
      </w:tr>
      <w:tr w:rsidR="0067625B" w:rsidRPr="00AC6A9F" w:rsidTr="009D4BE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625B" w:rsidRPr="0067625B" w:rsidRDefault="0067625B" w:rsidP="0062176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7625B">
              <w:rPr>
                <w:rFonts w:ascii="Times New Roman" w:hAnsi="Times New Roman" w:cs="Times New Roman"/>
                <w:bCs/>
                <w:i/>
              </w:rPr>
              <w:t>Oznake bezbednosti: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625B" w:rsidRPr="0067625B" w:rsidRDefault="0067625B" w:rsidP="006762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7625B">
              <w:rPr>
                <w:rFonts w:ascii="Times New Roman" w:hAnsi="Times New Roman" w:cs="Times New Roman"/>
                <w:bCs/>
                <w:lang w:val="en-GB"/>
              </w:rPr>
              <w:t xml:space="preserve">S26- </w:t>
            </w:r>
            <w:r w:rsidRPr="0067625B">
              <w:rPr>
                <w:rFonts w:ascii="Times New Roman" w:hAnsi="Times New Roman" w:cs="Times New Roman"/>
              </w:rPr>
              <w:t xml:space="preserve">U slučaju kontakta sa očima, odmah isprati sa dosta vode i zatražiti lekarsku pomoć. </w:t>
            </w:r>
          </w:p>
        </w:tc>
      </w:tr>
      <w:tr w:rsidR="0067625B" w:rsidTr="005D786C">
        <w:trPr>
          <w:trHeight w:val="54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7625B" w:rsidRPr="00AC6A9F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OSTALI PODACI</w:t>
            </w:r>
          </w:p>
        </w:tc>
      </w:tr>
      <w:tr w:rsidR="0067625B" w:rsidTr="009D4BE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625B" w:rsidRPr="00BC3B60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C3B6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 opasnosti: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625B" w:rsidRPr="00BC3B60" w:rsidRDefault="0067625B" w:rsidP="00AC6A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625B" w:rsidTr="009D4BE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625B" w:rsidRPr="00BC3B60" w:rsidRDefault="0067625B" w:rsidP="00FB78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BC3B60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625B" w:rsidRPr="00BC3B60" w:rsidRDefault="0067625B" w:rsidP="005036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Xi-Iritativno</w:t>
            </w:r>
          </w:p>
        </w:tc>
      </w:tr>
      <w:tr w:rsidR="0067625B" w:rsidTr="009D4BE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625B" w:rsidRPr="00BC3B60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BC3B6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Oznaka rizika: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625B" w:rsidRPr="00BC3B60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7625B" w:rsidTr="009D4BE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625B" w:rsidRPr="00BC3B60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BC3B60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625B" w:rsidRPr="00BC3B60" w:rsidRDefault="009D4BEB" w:rsidP="001527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2DA">
              <w:rPr>
                <w:rFonts w:ascii="Times New Roman" w:hAnsi="Times New Roman" w:cs="Times New Roman"/>
              </w:rPr>
              <w:t>R36- Iritativno za oči</w:t>
            </w:r>
          </w:p>
        </w:tc>
      </w:tr>
      <w:tr w:rsidR="0067625B" w:rsidTr="009D4BE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7625B" w:rsidRPr="00A4469C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7625B" w:rsidRPr="00A7727F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625B" w:rsidTr="009D4BE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625B" w:rsidRDefault="0067625B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 oznaka</w:t>
            </w:r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625B" w:rsidRPr="00204B5C" w:rsidRDefault="009D4BEB" w:rsidP="001527B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 w:rsidRPr="0067625B">
              <w:rPr>
                <w:rFonts w:ascii="Times New Roman" w:hAnsi="Times New Roman" w:cs="Times New Roman"/>
                <w:bCs/>
                <w:lang w:val="en-GB"/>
              </w:rPr>
              <w:t xml:space="preserve">S26- </w:t>
            </w:r>
            <w:r w:rsidRPr="0067625B">
              <w:rPr>
                <w:rFonts w:ascii="Times New Roman" w:hAnsi="Times New Roman" w:cs="Times New Roman"/>
              </w:rPr>
              <w:t>U slučaju kontakta sa očima, odmah isprati sa dosta vode i zatražiti lekarsku pomoć.</w:t>
            </w:r>
          </w:p>
        </w:tc>
      </w:tr>
      <w:tr w:rsidR="0067625B" w:rsidTr="009D4BEB">
        <w:trPr>
          <w:trHeight w:val="394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5B" w:rsidRPr="00DC725C" w:rsidRDefault="0067625B" w:rsidP="009D4B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Promene u odnosu na prethodno izdanje: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7625B" w:rsidRPr="00AC6A9F" w:rsidRDefault="009D4BEB" w:rsidP="009D4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Nema.</w:t>
            </w:r>
          </w:p>
        </w:tc>
      </w:tr>
      <w:tr w:rsidR="0067625B" w:rsidTr="009D4BEB">
        <w:trPr>
          <w:trHeight w:val="394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7625B" w:rsidRPr="002A4D55" w:rsidRDefault="0067625B" w:rsidP="002A4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4D55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7625B" w:rsidRPr="002A4D55" w:rsidRDefault="0067625B" w:rsidP="002A4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A4D55">
              <w:rPr>
                <w:rFonts w:ascii="Times New Roman" w:hAnsi="Times New Roman" w:cs="Times New Roman"/>
                <w:bCs/>
                <w:color w:val="000000"/>
              </w:rPr>
              <w:t>Nema.</w:t>
            </w:r>
          </w:p>
        </w:tc>
      </w:tr>
      <w:tr w:rsidR="0067625B" w:rsidTr="009D4BEB">
        <w:trPr>
          <w:trHeight w:val="394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625B" w:rsidRPr="002A4D55" w:rsidRDefault="0067625B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4D55">
              <w:rPr>
                <w:rFonts w:ascii="Times New Roman" w:hAnsi="Times New Roman" w:cs="Times New Roman"/>
                <w:b/>
                <w:lang w:val="de-DE"/>
              </w:rPr>
              <w:t>Izvor podataka: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625B" w:rsidRPr="002A4D55" w:rsidRDefault="0067625B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4D55">
              <w:rPr>
                <w:rFonts w:ascii="Times New Roman" w:hAnsi="Times New Roman" w:cs="Times New Roman"/>
                <w:lang w:val="de-DE"/>
              </w:rPr>
              <w:t>pomenuti propisi</w:t>
            </w:r>
          </w:p>
        </w:tc>
      </w:tr>
      <w:tr w:rsidR="0067625B" w:rsidTr="009D4BEB">
        <w:trPr>
          <w:trHeight w:val="77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7625B" w:rsidRPr="00AC6A9F" w:rsidRDefault="0067625B" w:rsidP="00DC72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AC6A9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  <w:tr w:rsidR="006669A8" w:rsidTr="009D4BEB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BB0133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Odricanje: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</w:tc>
      </w:tr>
    </w:tbl>
    <w:p w:rsidR="00BB0133" w:rsidRDefault="00BB0133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A4D55" w:rsidRDefault="002A4D55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3B60" w:rsidRDefault="00BC3B60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E07" w:rsidRDefault="00D62E07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62E07" w:rsidRDefault="00D62E07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036CC" w:rsidRDefault="005036CC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A4D55" w:rsidRDefault="002A4D55" w:rsidP="00D441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D4BEB" w:rsidRPr="002C21D4" w:rsidRDefault="009D4BEB" w:rsidP="009D4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</w:t>
      </w:r>
      <w:r w:rsidRPr="008807A1"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®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Niacin</w:t>
      </w:r>
      <w:r w:rsidRPr="002A4D55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9D4BEB" w:rsidRPr="002A62CE" w:rsidRDefault="009D4BEB" w:rsidP="009D4BEB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C160A3" w:rsidRDefault="002C21D4" w:rsidP="009D7BED">
      <w:pPr>
        <w:spacing w:line="240" w:lineRule="auto"/>
        <w:jc w:val="right"/>
        <w:rPr>
          <w:sz w:val="23"/>
          <w:szCs w:val="23"/>
        </w:rPr>
      </w:pPr>
      <w:r w:rsidRPr="00AC6A9F">
        <w:rPr>
          <w:rFonts w:ascii="Times New Roman" w:hAnsi="Times New Roman" w:cs="Times New Roman"/>
        </w:rPr>
        <w:t xml:space="preserve">Strana </w:t>
      </w:r>
      <w:r w:rsidR="00F40B3C">
        <w:rPr>
          <w:rFonts w:ascii="Times New Roman" w:hAnsi="Times New Roman" w:cs="Times New Roman"/>
        </w:rPr>
        <w:t>10/10</w:t>
      </w:r>
    </w:p>
    <w:sectPr w:rsidR="00C160A3" w:rsidSect="002C21D4">
      <w:headerReference w:type="default" r:id="rId10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07" w:rsidRDefault="00315207" w:rsidP="005E0553">
      <w:pPr>
        <w:spacing w:after="0" w:line="240" w:lineRule="auto"/>
      </w:pPr>
      <w:r>
        <w:separator/>
      </w:r>
    </w:p>
  </w:endnote>
  <w:endnote w:type="continuationSeparator" w:id="0">
    <w:p w:rsidR="00315207" w:rsidRDefault="00315207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07" w:rsidRDefault="00315207" w:rsidP="005E0553">
      <w:pPr>
        <w:spacing w:after="0" w:line="240" w:lineRule="auto"/>
      </w:pPr>
      <w:r>
        <w:separator/>
      </w:r>
    </w:p>
  </w:footnote>
  <w:footnote w:type="continuationSeparator" w:id="0">
    <w:p w:rsidR="00315207" w:rsidRDefault="00315207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EF" w:rsidRDefault="004534EF" w:rsidP="000D4216">
    <w:pPr>
      <w:pStyle w:val="Header"/>
    </w:pPr>
    <w:r>
      <w:rPr>
        <w:noProof/>
      </w:rPr>
      <w:drawing>
        <wp:inline distT="0" distB="0" distL="0" distR="0" wp14:anchorId="3CD0C761" wp14:editId="307DB319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06C2"/>
    <w:rsid w:val="00016616"/>
    <w:rsid w:val="000176F8"/>
    <w:rsid w:val="00030FE2"/>
    <w:rsid w:val="00040937"/>
    <w:rsid w:val="000534FE"/>
    <w:rsid w:val="00063103"/>
    <w:rsid w:val="00067DCF"/>
    <w:rsid w:val="00074FD9"/>
    <w:rsid w:val="00077104"/>
    <w:rsid w:val="00096130"/>
    <w:rsid w:val="000A0DDB"/>
    <w:rsid w:val="000C0C66"/>
    <w:rsid w:val="000C3126"/>
    <w:rsid w:val="000D4216"/>
    <w:rsid w:val="000E1C08"/>
    <w:rsid w:val="000E3E04"/>
    <w:rsid w:val="000F1FB3"/>
    <w:rsid w:val="001163AA"/>
    <w:rsid w:val="00127030"/>
    <w:rsid w:val="00152071"/>
    <w:rsid w:val="001527B0"/>
    <w:rsid w:val="001569C6"/>
    <w:rsid w:val="0016246C"/>
    <w:rsid w:val="001801BC"/>
    <w:rsid w:val="001A014E"/>
    <w:rsid w:val="001D6BFF"/>
    <w:rsid w:val="001E6EAB"/>
    <w:rsid w:val="001F5CFA"/>
    <w:rsid w:val="00204B5C"/>
    <w:rsid w:val="0021441C"/>
    <w:rsid w:val="00215BB6"/>
    <w:rsid w:val="0022204F"/>
    <w:rsid w:val="00235C13"/>
    <w:rsid w:val="0024262D"/>
    <w:rsid w:val="00246745"/>
    <w:rsid w:val="00256DF9"/>
    <w:rsid w:val="002876ED"/>
    <w:rsid w:val="002907B0"/>
    <w:rsid w:val="002A14E8"/>
    <w:rsid w:val="002A4D55"/>
    <w:rsid w:val="002A62CE"/>
    <w:rsid w:val="002B13B9"/>
    <w:rsid w:val="002C1ECB"/>
    <w:rsid w:val="002C21D4"/>
    <w:rsid w:val="002C36FB"/>
    <w:rsid w:val="002D0EBD"/>
    <w:rsid w:val="002D5149"/>
    <w:rsid w:val="002D6511"/>
    <w:rsid w:val="00303F60"/>
    <w:rsid w:val="00305F6E"/>
    <w:rsid w:val="00307462"/>
    <w:rsid w:val="00314E24"/>
    <w:rsid w:val="00315207"/>
    <w:rsid w:val="003230BA"/>
    <w:rsid w:val="00335A8D"/>
    <w:rsid w:val="00351689"/>
    <w:rsid w:val="00373420"/>
    <w:rsid w:val="003738EA"/>
    <w:rsid w:val="00374134"/>
    <w:rsid w:val="00380F19"/>
    <w:rsid w:val="003827F1"/>
    <w:rsid w:val="003838D3"/>
    <w:rsid w:val="0039538E"/>
    <w:rsid w:val="003B7611"/>
    <w:rsid w:val="003B7CBD"/>
    <w:rsid w:val="003E5236"/>
    <w:rsid w:val="003F131A"/>
    <w:rsid w:val="003F6248"/>
    <w:rsid w:val="00417A24"/>
    <w:rsid w:val="00420678"/>
    <w:rsid w:val="004213FA"/>
    <w:rsid w:val="00432C12"/>
    <w:rsid w:val="004534EF"/>
    <w:rsid w:val="004536EA"/>
    <w:rsid w:val="0045717F"/>
    <w:rsid w:val="00461F2E"/>
    <w:rsid w:val="00473B38"/>
    <w:rsid w:val="00485B93"/>
    <w:rsid w:val="004B4D4C"/>
    <w:rsid w:val="004C6F2C"/>
    <w:rsid w:val="004D22AE"/>
    <w:rsid w:val="004D4F8C"/>
    <w:rsid w:val="004F03EB"/>
    <w:rsid w:val="004F2FCC"/>
    <w:rsid w:val="00502EEA"/>
    <w:rsid w:val="005036CC"/>
    <w:rsid w:val="005039BD"/>
    <w:rsid w:val="005165EB"/>
    <w:rsid w:val="00521D1B"/>
    <w:rsid w:val="00531C9E"/>
    <w:rsid w:val="005352FE"/>
    <w:rsid w:val="00536A1D"/>
    <w:rsid w:val="005377C2"/>
    <w:rsid w:val="00567E74"/>
    <w:rsid w:val="005746A5"/>
    <w:rsid w:val="005952AD"/>
    <w:rsid w:val="005979D5"/>
    <w:rsid w:val="005B50EC"/>
    <w:rsid w:val="005B5BDB"/>
    <w:rsid w:val="005C03C9"/>
    <w:rsid w:val="005C1831"/>
    <w:rsid w:val="005D039B"/>
    <w:rsid w:val="005D5A24"/>
    <w:rsid w:val="005D786C"/>
    <w:rsid w:val="005D787C"/>
    <w:rsid w:val="005E0553"/>
    <w:rsid w:val="005F16E3"/>
    <w:rsid w:val="0060616E"/>
    <w:rsid w:val="0060748B"/>
    <w:rsid w:val="00607DA6"/>
    <w:rsid w:val="0061084B"/>
    <w:rsid w:val="0061677F"/>
    <w:rsid w:val="00617218"/>
    <w:rsid w:val="0062176D"/>
    <w:rsid w:val="00622BCC"/>
    <w:rsid w:val="006237EC"/>
    <w:rsid w:val="0063635E"/>
    <w:rsid w:val="00647156"/>
    <w:rsid w:val="00650575"/>
    <w:rsid w:val="00660653"/>
    <w:rsid w:val="006669A8"/>
    <w:rsid w:val="0067625B"/>
    <w:rsid w:val="0067694D"/>
    <w:rsid w:val="00676F94"/>
    <w:rsid w:val="006805AB"/>
    <w:rsid w:val="006812B4"/>
    <w:rsid w:val="00692054"/>
    <w:rsid w:val="006A6001"/>
    <w:rsid w:val="006A7CCC"/>
    <w:rsid w:val="006C720B"/>
    <w:rsid w:val="006D1224"/>
    <w:rsid w:val="006E7EF9"/>
    <w:rsid w:val="006F2F8B"/>
    <w:rsid w:val="007002BD"/>
    <w:rsid w:val="0071109E"/>
    <w:rsid w:val="00714C28"/>
    <w:rsid w:val="00723511"/>
    <w:rsid w:val="0072765F"/>
    <w:rsid w:val="007422AD"/>
    <w:rsid w:val="0074370C"/>
    <w:rsid w:val="007518B9"/>
    <w:rsid w:val="007543CD"/>
    <w:rsid w:val="00764709"/>
    <w:rsid w:val="00781016"/>
    <w:rsid w:val="00793C5F"/>
    <w:rsid w:val="00794AD3"/>
    <w:rsid w:val="007A7A04"/>
    <w:rsid w:val="007F7FD8"/>
    <w:rsid w:val="00812EF9"/>
    <w:rsid w:val="00824C25"/>
    <w:rsid w:val="0083593F"/>
    <w:rsid w:val="00850FBA"/>
    <w:rsid w:val="008807A1"/>
    <w:rsid w:val="00884F14"/>
    <w:rsid w:val="008865EA"/>
    <w:rsid w:val="00886C3D"/>
    <w:rsid w:val="0088774D"/>
    <w:rsid w:val="008A3724"/>
    <w:rsid w:val="008B2D54"/>
    <w:rsid w:val="008B773F"/>
    <w:rsid w:val="008C114A"/>
    <w:rsid w:val="008C30B3"/>
    <w:rsid w:val="008C6CC7"/>
    <w:rsid w:val="008D4AB1"/>
    <w:rsid w:val="009005C8"/>
    <w:rsid w:val="00920541"/>
    <w:rsid w:val="00922B54"/>
    <w:rsid w:val="00923CD0"/>
    <w:rsid w:val="009309C6"/>
    <w:rsid w:val="009328BA"/>
    <w:rsid w:val="009635AA"/>
    <w:rsid w:val="009709B8"/>
    <w:rsid w:val="00980C6D"/>
    <w:rsid w:val="00990B9D"/>
    <w:rsid w:val="00992792"/>
    <w:rsid w:val="00997683"/>
    <w:rsid w:val="009A04C5"/>
    <w:rsid w:val="009A15D9"/>
    <w:rsid w:val="009B30E6"/>
    <w:rsid w:val="009D4BEB"/>
    <w:rsid w:val="009D7BED"/>
    <w:rsid w:val="009E055F"/>
    <w:rsid w:val="00A02591"/>
    <w:rsid w:val="00A055DE"/>
    <w:rsid w:val="00A25630"/>
    <w:rsid w:val="00A27C5A"/>
    <w:rsid w:val="00A35FBB"/>
    <w:rsid w:val="00A42A1E"/>
    <w:rsid w:val="00A4449B"/>
    <w:rsid w:val="00A45A6E"/>
    <w:rsid w:val="00A508F7"/>
    <w:rsid w:val="00A72FA5"/>
    <w:rsid w:val="00A7727F"/>
    <w:rsid w:val="00A84B29"/>
    <w:rsid w:val="00A93EC7"/>
    <w:rsid w:val="00AB095C"/>
    <w:rsid w:val="00AB6F79"/>
    <w:rsid w:val="00AC6A9F"/>
    <w:rsid w:val="00AF2A89"/>
    <w:rsid w:val="00AF510E"/>
    <w:rsid w:val="00B02CC4"/>
    <w:rsid w:val="00B12957"/>
    <w:rsid w:val="00B16D20"/>
    <w:rsid w:val="00B31865"/>
    <w:rsid w:val="00B3509F"/>
    <w:rsid w:val="00B41328"/>
    <w:rsid w:val="00B5576B"/>
    <w:rsid w:val="00B924FE"/>
    <w:rsid w:val="00B9772A"/>
    <w:rsid w:val="00BA1B1C"/>
    <w:rsid w:val="00BA4B47"/>
    <w:rsid w:val="00BB0133"/>
    <w:rsid w:val="00BB12C3"/>
    <w:rsid w:val="00BC01BC"/>
    <w:rsid w:val="00BC22EF"/>
    <w:rsid w:val="00BC2862"/>
    <w:rsid w:val="00BC3B60"/>
    <w:rsid w:val="00BC782F"/>
    <w:rsid w:val="00BE66ED"/>
    <w:rsid w:val="00C00128"/>
    <w:rsid w:val="00C1479D"/>
    <w:rsid w:val="00C160A3"/>
    <w:rsid w:val="00C21DFC"/>
    <w:rsid w:val="00C25181"/>
    <w:rsid w:val="00C43863"/>
    <w:rsid w:val="00C44762"/>
    <w:rsid w:val="00C45091"/>
    <w:rsid w:val="00C464FB"/>
    <w:rsid w:val="00C5324D"/>
    <w:rsid w:val="00C54609"/>
    <w:rsid w:val="00C55C08"/>
    <w:rsid w:val="00C979C4"/>
    <w:rsid w:val="00CC32B9"/>
    <w:rsid w:val="00CC47CE"/>
    <w:rsid w:val="00CD1E85"/>
    <w:rsid w:val="00CF677F"/>
    <w:rsid w:val="00D03287"/>
    <w:rsid w:val="00D06638"/>
    <w:rsid w:val="00D104E8"/>
    <w:rsid w:val="00D1544C"/>
    <w:rsid w:val="00D156B1"/>
    <w:rsid w:val="00D161B7"/>
    <w:rsid w:val="00D4241C"/>
    <w:rsid w:val="00D44118"/>
    <w:rsid w:val="00D454D2"/>
    <w:rsid w:val="00D51C75"/>
    <w:rsid w:val="00D51D00"/>
    <w:rsid w:val="00D62E07"/>
    <w:rsid w:val="00D80EBC"/>
    <w:rsid w:val="00D83606"/>
    <w:rsid w:val="00D85858"/>
    <w:rsid w:val="00DA295D"/>
    <w:rsid w:val="00DC46A9"/>
    <w:rsid w:val="00DC4F00"/>
    <w:rsid w:val="00DC725C"/>
    <w:rsid w:val="00DD11E4"/>
    <w:rsid w:val="00DE3772"/>
    <w:rsid w:val="00E15DF7"/>
    <w:rsid w:val="00E26918"/>
    <w:rsid w:val="00E42774"/>
    <w:rsid w:val="00E43388"/>
    <w:rsid w:val="00E5128F"/>
    <w:rsid w:val="00E57838"/>
    <w:rsid w:val="00E70F8A"/>
    <w:rsid w:val="00E714F9"/>
    <w:rsid w:val="00E747D7"/>
    <w:rsid w:val="00E82F6B"/>
    <w:rsid w:val="00E8333C"/>
    <w:rsid w:val="00E936CC"/>
    <w:rsid w:val="00EC607C"/>
    <w:rsid w:val="00EE24A1"/>
    <w:rsid w:val="00F103C0"/>
    <w:rsid w:val="00F10B43"/>
    <w:rsid w:val="00F40B3C"/>
    <w:rsid w:val="00F47798"/>
    <w:rsid w:val="00F50902"/>
    <w:rsid w:val="00F531DE"/>
    <w:rsid w:val="00F639F0"/>
    <w:rsid w:val="00F72B16"/>
    <w:rsid w:val="00F80BF6"/>
    <w:rsid w:val="00F8580F"/>
    <w:rsid w:val="00F91996"/>
    <w:rsid w:val="00F92024"/>
    <w:rsid w:val="00FA0315"/>
    <w:rsid w:val="00FA30F1"/>
    <w:rsid w:val="00FA36DC"/>
    <w:rsid w:val="00FB785B"/>
    <w:rsid w:val="00FC4D1B"/>
    <w:rsid w:val="00FD2AA1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71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710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7D7B-040F-42FC-894B-74BDA875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10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88</cp:revision>
  <dcterms:created xsi:type="dcterms:W3CDTF">2013-02-21T09:37:00Z</dcterms:created>
  <dcterms:modified xsi:type="dcterms:W3CDTF">2013-03-27T08:48:00Z</dcterms:modified>
</cp:coreProperties>
</file>